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C294" w14:textId="1A621852" w:rsidR="009D1633" w:rsidRDefault="00B8282E" w:rsidP="00170CC4">
      <w:pPr>
        <w:pStyle w:val="pxch"/>
        <w:spacing w:before="180"/>
        <w:ind w:left="720"/>
        <w:rPr>
          <w:rFonts w:ascii="Arial" w:hAnsi="Arial" w:cs="Arial"/>
          <w:color w:val="000000"/>
        </w:rPr>
      </w:pPr>
      <w:r>
        <w:rPr>
          <w:rFonts w:ascii="Arial" w:hAnsi="Arial" w:cs="Arial"/>
          <w:color w:val="000000"/>
        </w:rPr>
        <w:t xml:space="preserve">Limits on </w:t>
      </w:r>
      <w:r w:rsidR="008866BB">
        <w:rPr>
          <w:rFonts w:ascii="Arial" w:hAnsi="Arial" w:cs="Arial"/>
          <w:color w:val="000000"/>
        </w:rPr>
        <w:t>I</w:t>
      </w:r>
      <w:r w:rsidR="008866BB" w:rsidRPr="00E6309C">
        <w:rPr>
          <w:rFonts w:ascii="Arial" w:hAnsi="Arial" w:cs="Arial"/>
          <w:color w:val="000000"/>
        </w:rPr>
        <w:t xml:space="preserve">nterrogatories </w:t>
      </w:r>
      <w:r w:rsidR="008866BB">
        <w:rPr>
          <w:rFonts w:ascii="Arial" w:hAnsi="Arial" w:cs="Arial"/>
          <w:color w:val="000000"/>
        </w:rPr>
        <w:t>in Matrimonial Actions</w:t>
      </w:r>
      <w:r w:rsidR="00170CC4">
        <w:rPr>
          <w:rFonts w:ascii="Arial" w:hAnsi="Arial" w:cs="Arial"/>
          <w:color w:val="000000"/>
        </w:rPr>
        <w:br/>
      </w:r>
      <w:r w:rsidR="00E6309C">
        <w:rPr>
          <w:rFonts w:ascii="Arial" w:hAnsi="Arial" w:cs="Arial"/>
          <w:color w:val="000000"/>
        </w:rPr>
        <w:t>By Joel R. Brandes</w:t>
      </w:r>
    </w:p>
    <w:p w14:paraId="30A4813A" w14:textId="49792FC7" w:rsidR="00866BEB" w:rsidRPr="00E6309C" w:rsidRDefault="00D34201" w:rsidP="00170CC4">
      <w:pPr>
        <w:pStyle w:val="pxch"/>
        <w:spacing w:before="180"/>
        <w:ind w:left="720"/>
        <w:rPr>
          <w:rFonts w:ascii="Arial" w:hAnsi="Arial" w:cs="Arial"/>
        </w:rPr>
      </w:pPr>
      <w:r w:rsidRPr="00E6309C">
        <w:rPr>
          <w:rFonts w:ascii="Arial" w:hAnsi="Arial" w:cs="Arial"/>
          <w:color w:val="000000"/>
        </w:rPr>
        <w:t xml:space="preserve"> </w:t>
      </w:r>
    </w:p>
    <w:p w14:paraId="18D5E7EA" w14:textId="6D4378FE" w:rsidR="00B8282E" w:rsidRPr="00E6309C" w:rsidRDefault="00866BEB" w:rsidP="00B8282E">
      <w:pPr>
        <w:pStyle w:val="pxs"/>
        <w:rPr>
          <w:rFonts w:ascii="Arial" w:hAnsi="Arial" w:cs="Arial"/>
          <w:color w:val="000000"/>
        </w:rPr>
      </w:pPr>
      <w:r w:rsidRPr="00E6309C">
        <w:rPr>
          <w:rFonts w:ascii="Arial" w:hAnsi="Arial" w:cs="Arial"/>
          <w:color w:val="000000"/>
        </w:rPr>
        <w:t xml:space="preserve"> </w:t>
      </w:r>
      <w:r w:rsidR="00CD4AE8">
        <w:rPr>
          <w:rFonts w:ascii="Arial" w:hAnsi="Arial" w:cs="Arial"/>
          <w:color w:val="000000"/>
        </w:rPr>
        <w:tab/>
      </w:r>
      <w:r w:rsidR="00B8282E">
        <w:rPr>
          <w:rFonts w:ascii="Arial" w:hAnsi="Arial" w:cs="Arial"/>
          <w:color w:val="000000"/>
        </w:rPr>
        <w:t>In an action for a divorce</w:t>
      </w:r>
      <w:r w:rsidR="0067156A">
        <w:rPr>
          <w:rFonts w:ascii="Arial" w:hAnsi="Arial" w:cs="Arial"/>
          <w:color w:val="000000"/>
        </w:rPr>
        <w:t>,</w:t>
      </w:r>
      <w:r w:rsidR="000309E4">
        <w:rPr>
          <w:rFonts w:ascii="Arial" w:hAnsi="Arial" w:cs="Arial"/>
          <w:color w:val="000000"/>
        </w:rPr>
        <w:t xml:space="preserve"> </w:t>
      </w:r>
      <w:r w:rsidR="004C2A35">
        <w:rPr>
          <w:rFonts w:ascii="Arial" w:hAnsi="Arial" w:cs="Arial"/>
        </w:rPr>
        <w:t xml:space="preserve">the court must </w:t>
      </w:r>
      <w:r w:rsidR="00B8282E">
        <w:rPr>
          <w:rFonts w:ascii="Arial" w:hAnsi="Arial" w:cs="Arial"/>
        </w:rPr>
        <w:t xml:space="preserve">determine the rights of the parties in their separate property and </w:t>
      </w:r>
      <w:r w:rsidR="00B224CA">
        <w:rPr>
          <w:rFonts w:ascii="Arial" w:hAnsi="Arial" w:cs="Arial"/>
        </w:rPr>
        <w:t xml:space="preserve">marital property and </w:t>
      </w:r>
      <w:r w:rsidR="00B8282E">
        <w:rPr>
          <w:rFonts w:ascii="Arial" w:hAnsi="Arial" w:cs="Arial"/>
        </w:rPr>
        <w:t xml:space="preserve">equitably distribute their marital property. </w:t>
      </w:r>
      <w:r w:rsidR="00B224CA">
        <w:rPr>
          <w:rFonts w:ascii="Arial" w:hAnsi="Arial" w:cs="Arial"/>
        </w:rPr>
        <w:t>I</w:t>
      </w:r>
      <w:r w:rsidR="00B8282E">
        <w:rPr>
          <w:rFonts w:ascii="Arial" w:hAnsi="Arial" w:cs="Arial"/>
        </w:rPr>
        <w:t xml:space="preserve">t must </w:t>
      </w:r>
      <w:r w:rsidR="004C2A35">
        <w:rPr>
          <w:rFonts w:ascii="Arial" w:hAnsi="Arial" w:cs="Arial"/>
        </w:rPr>
        <w:t xml:space="preserve">consider </w:t>
      </w:r>
      <w:r w:rsidR="00CD4AE8">
        <w:rPr>
          <w:rFonts w:ascii="Arial" w:hAnsi="Arial" w:cs="Arial"/>
        </w:rPr>
        <w:t>16</w:t>
      </w:r>
      <w:r w:rsidR="004C2A35">
        <w:rPr>
          <w:rFonts w:ascii="Arial" w:hAnsi="Arial" w:cs="Arial"/>
        </w:rPr>
        <w:t xml:space="preserve"> enumerated factors</w:t>
      </w:r>
      <w:r w:rsidR="00CD4AE8">
        <w:rPr>
          <w:rFonts w:ascii="Arial" w:hAnsi="Arial" w:cs="Arial"/>
        </w:rPr>
        <w:t xml:space="preserve"> in making an equitable distribution of marital property. </w:t>
      </w:r>
      <w:r w:rsidR="000309E4">
        <w:rPr>
          <w:rFonts w:ascii="Arial" w:hAnsi="Arial" w:cs="Arial"/>
        </w:rPr>
        <w:t>(</w:t>
      </w:r>
      <w:r w:rsidR="00CD4AE8">
        <w:rPr>
          <w:rFonts w:ascii="Arial" w:hAnsi="Arial" w:cs="Arial"/>
        </w:rPr>
        <w:t>D</w:t>
      </w:r>
      <w:r w:rsidR="000309E4">
        <w:rPr>
          <w:rFonts w:ascii="Arial" w:hAnsi="Arial" w:cs="Arial"/>
        </w:rPr>
        <w:t xml:space="preserve">RL § </w:t>
      </w:r>
      <w:r w:rsidR="00CD4AE8">
        <w:rPr>
          <w:rFonts w:ascii="Arial" w:hAnsi="Arial" w:cs="Arial"/>
        </w:rPr>
        <w:t xml:space="preserve">236 </w:t>
      </w:r>
      <w:r w:rsidR="000309E4">
        <w:rPr>
          <w:rFonts w:ascii="Arial" w:hAnsi="Arial" w:cs="Arial"/>
        </w:rPr>
        <w:t xml:space="preserve">(B)(5)(d) </w:t>
      </w:r>
      <w:r w:rsidR="00CD4AE8">
        <w:rPr>
          <w:rFonts w:ascii="Arial" w:hAnsi="Arial" w:cs="Arial"/>
        </w:rPr>
        <w:t>(1-16)</w:t>
      </w:r>
      <w:r w:rsidR="000309E4">
        <w:rPr>
          <w:rFonts w:ascii="Arial" w:hAnsi="Arial" w:cs="Arial"/>
        </w:rPr>
        <w:t xml:space="preserve">. </w:t>
      </w:r>
      <w:r w:rsidR="00CD4AE8">
        <w:rPr>
          <w:rFonts w:ascii="Arial" w:hAnsi="Arial" w:cs="Arial"/>
        </w:rPr>
        <w:t xml:space="preserve">When </w:t>
      </w:r>
      <w:r w:rsidR="000309E4">
        <w:rPr>
          <w:rFonts w:ascii="Arial" w:hAnsi="Arial" w:cs="Arial"/>
        </w:rPr>
        <w:t>post</w:t>
      </w:r>
      <w:r w:rsidR="0067156A">
        <w:rPr>
          <w:rFonts w:ascii="Arial" w:hAnsi="Arial" w:cs="Arial"/>
        </w:rPr>
        <w:t>-</w:t>
      </w:r>
      <w:r w:rsidR="000309E4">
        <w:rPr>
          <w:rFonts w:ascii="Arial" w:hAnsi="Arial" w:cs="Arial"/>
        </w:rPr>
        <w:t xml:space="preserve">divorce </w:t>
      </w:r>
      <w:r w:rsidR="00CD4AE8">
        <w:rPr>
          <w:rFonts w:ascii="Arial" w:hAnsi="Arial" w:cs="Arial"/>
        </w:rPr>
        <w:t xml:space="preserve">maintenance is requested the court must consider </w:t>
      </w:r>
      <w:r w:rsidR="000309E4">
        <w:rPr>
          <w:rFonts w:ascii="Arial" w:hAnsi="Arial" w:cs="Arial"/>
        </w:rPr>
        <w:t>20</w:t>
      </w:r>
      <w:r w:rsidR="004C2A35" w:rsidRPr="00D73C59">
        <w:rPr>
          <w:rFonts w:ascii="Arial" w:hAnsi="Arial" w:cs="Arial"/>
        </w:rPr>
        <w:t xml:space="preserve"> factors</w:t>
      </w:r>
      <w:r w:rsidR="000309E4">
        <w:rPr>
          <w:rFonts w:ascii="Arial" w:hAnsi="Arial" w:cs="Arial"/>
        </w:rPr>
        <w:t xml:space="preserve"> in determining </w:t>
      </w:r>
      <w:r w:rsidR="00502472">
        <w:rPr>
          <w:rFonts w:ascii="Arial" w:hAnsi="Arial" w:cs="Arial"/>
        </w:rPr>
        <w:t>its</w:t>
      </w:r>
      <w:r w:rsidR="000309E4">
        <w:rPr>
          <w:rFonts w:ascii="Arial" w:hAnsi="Arial" w:cs="Arial"/>
        </w:rPr>
        <w:t xml:space="preserve"> amount and duration</w:t>
      </w:r>
      <w:r w:rsidR="00502472">
        <w:rPr>
          <w:rFonts w:ascii="Arial" w:hAnsi="Arial" w:cs="Arial"/>
        </w:rPr>
        <w:t>,</w:t>
      </w:r>
      <w:r w:rsidR="000309E4">
        <w:rPr>
          <w:rFonts w:ascii="Arial" w:hAnsi="Arial" w:cs="Arial"/>
        </w:rPr>
        <w:t xml:space="preserve"> and if the guideline a</w:t>
      </w:r>
      <w:r w:rsidR="00502472">
        <w:rPr>
          <w:rFonts w:ascii="Arial" w:hAnsi="Arial" w:cs="Arial"/>
        </w:rPr>
        <w:t>mount</w:t>
      </w:r>
      <w:r w:rsidR="000309E4">
        <w:rPr>
          <w:rFonts w:ascii="Arial" w:hAnsi="Arial" w:cs="Arial"/>
        </w:rPr>
        <w:t xml:space="preserve"> is unjust or inappropriate (DRL §</w:t>
      </w:r>
      <w:r w:rsidR="00CD4AE8">
        <w:rPr>
          <w:rFonts w:ascii="Arial" w:hAnsi="Arial" w:cs="Arial"/>
        </w:rPr>
        <w:t xml:space="preserve"> 236</w:t>
      </w:r>
      <w:r w:rsidR="000309E4">
        <w:rPr>
          <w:rFonts w:ascii="Arial" w:hAnsi="Arial" w:cs="Arial"/>
        </w:rPr>
        <w:t xml:space="preserve"> (B)(6)(</w:t>
      </w:r>
      <w:r w:rsidR="00CD4AE8">
        <w:rPr>
          <w:rFonts w:ascii="Arial" w:hAnsi="Arial" w:cs="Arial"/>
        </w:rPr>
        <w:t>e</w:t>
      </w:r>
      <w:r w:rsidR="000309E4">
        <w:rPr>
          <w:rFonts w:ascii="Arial" w:hAnsi="Arial" w:cs="Arial"/>
        </w:rPr>
        <w:t>)</w:t>
      </w:r>
      <w:r w:rsidR="00CD4AE8">
        <w:rPr>
          <w:rFonts w:ascii="Arial" w:hAnsi="Arial" w:cs="Arial"/>
        </w:rPr>
        <w:t xml:space="preserve"> (a-</w:t>
      </w:r>
      <w:r w:rsidR="000309E4">
        <w:rPr>
          <w:rFonts w:ascii="Arial" w:hAnsi="Arial" w:cs="Arial"/>
        </w:rPr>
        <w:t>o</w:t>
      </w:r>
      <w:r w:rsidR="00CD4AE8">
        <w:rPr>
          <w:rFonts w:ascii="Arial" w:hAnsi="Arial" w:cs="Arial"/>
        </w:rPr>
        <w:t>)</w:t>
      </w:r>
      <w:r w:rsidR="000309E4">
        <w:rPr>
          <w:rFonts w:ascii="Arial" w:hAnsi="Arial" w:cs="Arial"/>
        </w:rPr>
        <w:t xml:space="preserve"> and (f)</w:t>
      </w:r>
      <w:r w:rsidR="00502472">
        <w:rPr>
          <w:rFonts w:ascii="Arial" w:hAnsi="Arial" w:cs="Arial"/>
        </w:rPr>
        <w:t>)</w:t>
      </w:r>
      <w:r w:rsidR="000309E4">
        <w:rPr>
          <w:rFonts w:ascii="Arial" w:hAnsi="Arial" w:cs="Arial"/>
        </w:rPr>
        <w:t xml:space="preserve">.  In making an award for </w:t>
      </w:r>
      <w:r w:rsidR="004C2A35">
        <w:rPr>
          <w:rFonts w:ascii="Arial" w:hAnsi="Arial" w:cs="Arial"/>
        </w:rPr>
        <w:t xml:space="preserve">child support </w:t>
      </w:r>
      <w:r w:rsidR="000309E4">
        <w:rPr>
          <w:rFonts w:ascii="Arial" w:hAnsi="Arial" w:cs="Arial"/>
        </w:rPr>
        <w:t xml:space="preserve">and determining whether the basic child support obligation is unjust or inappropriate the </w:t>
      </w:r>
      <w:r w:rsidR="004C2A35">
        <w:rPr>
          <w:rFonts w:ascii="Arial" w:hAnsi="Arial" w:cs="Arial"/>
        </w:rPr>
        <w:t xml:space="preserve">court </w:t>
      </w:r>
      <w:r w:rsidR="000309E4">
        <w:rPr>
          <w:rFonts w:ascii="Arial" w:hAnsi="Arial" w:cs="Arial"/>
        </w:rPr>
        <w:t xml:space="preserve">is required to </w:t>
      </w:r>
      <w:r w:rsidR="004C2A35">
        <w:rPr>
          <w:rFonts w:ascii="Arial" w:hAnsi="Arial" w:cs="Arial"/>
        </w:rPr>
        <w:t>consider t</w:t>
      </w:r>
      <w:r w:rsidR="004C2A35" w:rsidRPr="00D73C59">
        <w:rPr>
          <w:rFonts w:ascii="Arial" w:hAnsi="Arial" w:cs="Arial"/>
        </w:rPr>
        <w:t>he 10 child support factors</w:t>
      </w:r>
      <w:r w:rsidR="004C2A35">
        <w:rPr>
          <w:rFonts w:ascii="Arial" w:hAnsi="Arial" w:cs="Arial"/>
        </w:rPr>
        <w:t xml:space="preserve">. </w:t>
      </w:r>
      <w:r w:rsidR="00502472">
        <w:rPr>
          <w:rFonts w:ascii="Arial" w:hAnsi="Arial" w:cs="Arial"/>
        </w:rPr>
        <w:t>(</w:t>
      </w:r>
      <w:r w:rsidR="000309E4">
        <w:rPr>
          <w:rFonts w:ascii="Arial" w:hAnsi="Arial" w:cs="Arial"/>
        </w:rPr>
        <w:t>DRL §240 (1-b) (f)</w:t>
      </w:r>
      <w:r w:rsidR="00502472">
        <w:rPr>
          <w:rFonts w:ascii="Arial" w:hAnsi="Arial" w:cs="Arial"/>
        </w:rPr>
        <w:t>)</w:t>
      </w:r>
      <w:r w:rsidR="000309E4">
        <w:rPr>
          <w:rFonts w:ascii="Arial" w:hAnsi="Arial" w:cs="Arial"/>
        </w:rPr>
        <w:t xml:space="preserve">. </w:t>
      </w:r>
      <w:r w:rsidR="00B8282E">
        <w:rPr>
          <w:rFonts w:ascii="Arial" w:hAnsi="Arial" w:cs="Arial"/>
        </w:rPr>
        <w:t>B</w:t>
      </w:r>
      <w:r w:rsidR="00B8282E" w:rsidRPr="00E6309C">
        <w:rPr>
          <w:rFonts w:ascii="Arial" w:hAnsi="Arial" w:cs="Arial"/>
          <w:color w:val="000000"/>
        </w:rPr>
        <w:t xml:space="preserve">road disclosure is required </w:t>
      </w:r>
      <w:r w:rsidR="00B8282E">
        <w:rPr>
          <w:rFonts w:ascii="Arial" w:hAnsi="Arial" w:cs="Arial"/>
          <w:color w:val="000000"/>
        </w:rPr>
        <w:t xml:space="preserve">by the non-monied spouse </w:t>
      </w:r>
      <w:r w:rsidR="00B8282E" w:rsidRPr="00E6309C">
        <w:rPr>
          <w:rFonts w:ascii="Arial" w:hAnsi="Arial" w:cs="Arial"/>
          <w:color w:val="000000"/>
        </w:rPr>
        <w:t xml:space="preserve">by way of </w:t>
      </w:r>
      <w:r w:rsidR="00B224CA">
        <w:rPr>
          <w:rFonts w:ascii="Arial" w:hAnsi="Arial" w:cs="Arial"/>
          <w:color w:val="000000"/>
        </w:rPr>
        <w:t>a</w:t>
      </w:r>
      <w:r w:rsidR="00B8282E" w:rsidRPr="00E6309C">
        <w:rPr>
          <w:rFonts w:ascii="Arial" w:hAnsi="Arial" w:cs="Arial"/>
          <w:color w:val="000000"/>
        </w:rPr>
        <w:t xml:space="preserve"> searching </w:t>
      </w:r>
      <w:r w:rsidR="00B224CA">
        <w:rPr>
          <w:rFonts w:ascii="Arial" w:hAnsi="Arial" w:cs="Arial"/>
          <w:color w:val="000000"/>
        </w:rPr>
        <w:t xml:space="preserve">exploration </w:t>
      </w:r>
      <w:r w:rsidR="00B8282E" w:rsidRPr="00E6309C">
        <w:rPr>
          <w:rFonts w:ascii="Arial" w:hAnsi="Arial" w:cs="Arial"/>
          <w:color w:val="000000"/>
        </w:rPr>
        <w:t xml:space="preserve">of </w:t>
      </w:r>
      <w:r w:rsidR="00B224CA">
        <w:rPr>
          <w:rFonts w:ascii="Arial" w:hAnsi="Arial" w:cs="Arial"/>
          <w:color w:val="000000"/>
        </w:rPr>
        <w:t xml:space="preserve">the </w:t>
      </w:r>
      <w:r w:rsidR="00B8282E" w:rsidRPr="00E6309C">
        <w:rPr>
          <w:rFonts w:ascii="Arial" w:hAnsi="Arial" w:cs="Arial"/>
          <w:color w:val="000000"/>
        </w:rPr>
        <w:t>parties' assets</w:t>
      </w:r>
      <w:r w:rsidR="00B8282E">
        <w:rPr>
          <w:rFonts w:ascii="Arial" w:hAnsi="Arial" w:cs="Arial"/>
          <w:color w:val="000000"/>
        </w:rPr>
        <w:t>, income</w:t>
      </w:r>
      <w:r w:rsidR="0067156A">
        <w:rPr>
          <w:rFonts w:ascii="Arial" w:hAnsi="Arial" w:cs="Arial"/>
          <w:color w:val="000000"/>
        </w:rPr>
        <w:t>,</w:t>
      </w:r>
      <w:r w:rsidR="00B8282E" w:rsidRPr="00E6309C">
        <w:rPr>
          <w:rFonts w:ascii="Arial" w:hAnsi="Arial" w:cs="Arial"/>
          <w:color w:val="000000"/>
        </w:rPr>
        <w:t xml:space="preserve"> and financial dealings to gather all relevant information for purposes of </w:t>
      </w:r>
      <w:r w:rsidR="00B8282E">
        <w:rPr>
          <w:rFonts w:ascii="Arial" w:hAnsi="Arial" w:cs="Arial"/>
          <w:color w:val="000000"/>
        </w:rPr>
        <w:t>establishing a prima facie case</w:t>
      </w:r>
      <w:r w:rsidR="00B224CA">
        <w:rPr>
          <w:rFonts w:ascii="Arial" w:hAnsi="Arial" w:cs="Arial"/>
          <w:color w:val="000000"/>
        </w:rPr>
        <w:t xml:space="preserve"> with regard to each of the factors</w:t>
      </w:r>
      <w:r w:rsidR="00B8282E" w:rsidRPr="00E6309C">
        <w:rPr>
          <w:rFonts w:ascii="Arial" w:hAnsi="Arial" w:cs="Arial"/>
          <w:color w:val="000000"/>
        </w:rPr>
        <w:t xml:space="preserve">. </w:t>
      </w:r>
    </w:p>
    <w:p w14:paraId="4DEBAABD" w14:textId="612EB04E" w:rsidR="0024039B" w:rsidRDefault="0024039B" w:rsidP="00CD4AE8">
      <w:pPr>
        <w:rPr>
          <w:rFonts w:ascii="Arial" w:hAnsi="Arial" w:cs="Arial"/>
          <w:color w:val="000000" w:themeColor="text1"/>
        </w:rPr>
      </w:pPr>
    </w:p>
    <w:p w14:paraId="4AA85EEE" w14:textId="63206B96" w:rsidR="00B224CA" w:rsidRDefault="00B224CA" w:rsidP="00B224CA">
      <w:pPr>
        <w:widowControl/>
        <w:shd w:val="clear" w:color="auto" w:fill="FFFFFF"/>
        <w:autoSpaceDE/>
        <w:autoSpaceDN/>
        <w:adjustRightInd/>
        <w:ind w:firstLine="720"/>
        <w:rPr>
          <w:rStyle w:val="pxntc"/>
          <w:rFonts w:ascii="Arial" w:hAnsi="Arial" w:cs="Arial"/>
          <w:color w:val="000000"/>
        </w:rPr>
      </w:pPr>
      <w:r>
        <w:rPr>
          <w:rFonts w:ascii="Arial" w:hAnsi="Arial" w:cs="Arial"/>
          <w:color w:val="000000"/>
          <w:shd w:val="clear" w:color="auto" w:fill="FFFFFF"/>
        </w:rPr>
        <w:t xml:space="preserve">Interrogatories </w:t>
      </w:r>
      <w:r w:rsidR="0042714D">
        <w:rPr>
          <w:rFonts w:ascii="Arial" w:hAnsi="Arial" w:cs="Arial"/>
          <w:color w:val="000000"/>
          <w:shd w:val="clear" w:color="auto" w:fill="FFFFFF"/>
        </w:rPr>
        <w:t>ha</w:t>
      </w:r>
      <w:r w:rsidR="0067156A">
        <w:rPr>
          <w:rFonts w:ascii="Arial" w:hAnsi="Arial" w:cs="Arial"/>
          <w:color w:val="000000"/>
          <w:shd w:val="clear" w:color="auto" w:fill="FFFFFF"/>
        </w:rPr>
        <w:t>ve</w:t>
      </w:r>
      <w:r w:rsidR="0042714D">
        <w:rPr>
          <w:rFonts w:ascii="Arial" w:hAnsi="Arial" w:cs="Arial"/>
          <w:color w:val="000000"/>
          <w:shd w:val="clear" w:color="auto" w:fill="FFFFFF"/>
        </w:rPr>
        <w:t xml:space="preserve"> been a cost</w:t>
      </w:r>
      <w:r w:rsidR="0067156A">
        <w:rPr>
          <w:rFonts w:ascii="Arial" w:hAnsi="Arial" w:cs="Arial"/>
          <w:color w:val="000000"/>
          <w:shd w:val="clear" w:color="auto" w:fill="FFFFFF"/>
        </w:rPr>
        <w:t>-</w:t>
      </w:r>
      <w:r w:rsidR="0042714D">
        <w:rPr>
          <w:rFonts w:ascii="Arial" w:hAnsi="Arial" w:cs="Arial"/>
          <w:color w:val="000000"/>
          <w:shd w:val="clear" w:color="auto" w:fill="FFFFFF"/>
        </w:rPr>
        <w:t xml:space="preserve">effective disclosure device </w:t>
      </w:r>
      <w:r>
        <w:rPr>
          <w:rFonts w:ascii="Arial" w:hAnsi="Arial" w:cs="Arial"/>
          <w:color w:val="000000"/>
          <w:shd w:val="clear" w:color="auto" w:fill="FFFFFF"/>
        </w:rPr>
        <w:t xml:space="preserve">used </w:t>
      </w:r>
      <w:r w:rsidR="0042714D">
        <w:rPr>
          <w:rFonts w:ascii="Arial" w:hAnsi="Arial" w:cs="Arial"/>
          <w:color w:val="000000"/>
          <w:shd w:val="clear" w:color="auto" w:fill="FFFFFF"/>
        </w:rPr>
        <w:t xml:space="preserve">in matrimonial actions, </w:t>
      </w:r>
      <w:r>
        <w:rPr>
          <w:rFonts w:ascii="Arial" w:hAnsi="Arial" w:cs="Arial"/>
          <w:color w:val="000000"/>
          <w:shd w:val="clear" w:color="auto" w:fill="FFFFFF"/>
        </w:rPr>
        <w:t>before or in</w:t>
      </w:r>
      <w:r w:rsidR="0067156A">
        <w:rPr>
          <w:rFonts w:ascii="Arial" w:hAnsi="Arial" w:cs="Arial"/>
          <w:color w:val="000000"/>
          <w:shd w:val="clear" w:color="auto" w:fill="FFFFFF"/>
        </w:rPr>
        <w:t>stead</w:t>
      </w:r>
      <w:r>
        <w:rPr>
          <w:rFonts w:ascii="Arial" w:hAnsi="Arial" w:cs="Arial"/>
          <w:color w:val="000000"/>
          <w:shd w:val="clear" w:color="auto" w:fill="FFFFFF"/>
        </w:rPr>
        <w:t xml:space="preserve"> of depositions, </w:t>
      </w:r>
      <w:r w:rsidR="0042714D">
        <w:rPr>
          <w:rFonts w:ascii="Arial" w:hAnsi="Arial" w:cs="Arial"/>
          <w:color w:val="000000"/>
          <w:shd w:val="clear" w:color="auto" w:fill="FFFFFF"/>
        </w:rPr>
        <w:t xml:space="preserve">especially where the parties have limited </w:t>
      </w:r>
      <w:r w:rsidR="0024039B">
        <w:rPr>
          <w:rFonts w:ascii="Arial" w:hAnsi="Arial" w:cs="Arial"/>
          <w:color w:val="000000"/>
          <w:shd w:val="clear" w:color="auto" w:fill="FFFFFF"/>
        </w:rPr>
        <w:t xml:space="preserve">financial </w:t>
      </w:r>
      <w:r w:rsidR="0042714D">
        <w:rPr>
          <w:rFonts w:ascii="Arial" w:hAnsi="Arial" w:cs="Arial"/>
          <w:color w:val="000000"/>
          <w:shd w:val="clear" w:color="auto" w:fill="FFFFFF"/>
        </w:rPr>
        <w:t>resources.</w:t>
      </w:r>
      <w:r w:rsidR="0042714D" w:rsidRPr="0042714D">
        <w:rPr>
          <w:rStyle w:val="pxntc"/>
          <w:rFonts w:ascii="Arial" w:hAnsi="Arial" w:cs="Arial"/>
          <w:color w:val="000000"/>
        </w:rPr>
        <w:t xml:space="preserve"> </w:t>
      </w:r>
      <w:r w:rsidRPr="00D73C59">
        <w:rPr>
          <w:rFonts w:ascii="Arial" w:hAnsi="Arial" w:cs="Arial"/>
          <w:color w:val="000000"/>
        </w:rPr>
        <w:t xml:space="preserve">Interrogatories are frequently used as the first disclosure device in </w:t>
      </w:r>
      <w:r>
        <w:rPr>
          <w:rFonts w:ascii="Arial" w:hAnsi="Arial" w:cs="Arial"/>
          <w:color w:val="000000"/>
        </w:rPr>
        <w:t xml:space="preserve">those </w:t>
      </w:r>
      <w:r w:rsidRPr="00D73C59">
        <w:rPr>
          <w:rFonts w:ascii="Arial" w:hAnsi="Arial" w:cs="Arial"/>
          <w:color w:val="000000"/>
        </w:rPr>
        <w:t xml:space="preserve">actions because they are far less costly </w:t>
      </w:r>
      <w:r>
        <w:rPr>
          <w:rFonts w:ascii="Arial" w:hAnsi="Arial" w:cs="Arial"/>
          <w:color w:val="000000"/>
        </w:rPr>
        <w:t xml:space="preserve">to use than taking </w:t>
      </w:r>
      <w:r w:rsidRPr="00D73C59">
        <w:rPr>
          <w:rFonts w:ascii="Arial" w:hAnsi="Arial" w:cs="Arial"/>
          <w:color w:val="000000"/>
        </w:rPr>
        <w:t>a deposition</w:t>
      </w:r>
      <w:r>
        <w:rPr>
          <w:rFonts w:ascii="Arial" w:hAnsi="Arial" w:cs="Arial"/>
          <w:color w:val="000000"/>
        </w:rPr>
        <w:t xml:space="preserve"> and can be used to obtain relevant documents without first serving a notice for discovery and inspection. (CPLR 3120)</w:t>
      </w:r>
      <w:r w:rsidRPr="00D73C59">
        <w:rPr>
          <w:rFonts w:ascii="Arial" w:hAnsi="Arial" w:cs="Arial"/>
          <w:color w:val="000000"/>
        </w:rPr>
        <w:t xml:space="preserve"> The </w:t>
      </w:r>
      <w:r>
        <w:rPr>
          <w:rFonts w:ascii="Arial" w:hAnsi="Arial" w:cs="Arial"/>
          <w:color w:val="000000"/>
        </w:rPr>
        <w:t>questions propounded in interrogatories may be used to as</w:t>
      </w:r>
      <w:r w:rsidRPr="00D73C59">
        <w:rPr>
          <w:rFonts w:ascii="Arial" w:hAnsi="Arial" w:cs="Arial"/>
          <w:color w:val="000000"/>
        </w:rPr>
        <w:t xml:space="preserve">certain the existence of </w:t>
      </w:r>
      <w:r>
        <w:rPr>
          <w:rFonts w:ascii="Arial" w:hAnsi="Arial" w:cs="Arial"/>
          <w:color w:val="000000"/>
        </w:rPr>
        <w:t xml:space="preserve">relevant </w:t>
      </w:r>
      <w:r w:rsidRPr="00D73C59">
        <w:rPr>
          <w:rFonts w:ascii="Arial" w:hAnsi="Arial" w:cs="Arial"/>
          <w:color w:val="000000"/>
        </w:rPr>
        <w:t xml:space="preserve">documents </w:t>
      </w:r>
      <w:r>
        <w:rPr>
          <w:rFonts w:ascii="Arial" w:hAnsi="Arial" w:cs="Arial"/>
          <w:color w:val="000000"/>
        </w:rPr>
        <w:t xml:space="preserve">and require that they be </w:t>
      </w:r>
      <w:r w:rsidRPr="00D73C59">
        <w:rPr>
          <w:rFonts w:ascii="Arial" w:hAnsi="Arial" w:cs="Arial"/>
          <w:color w:val="000000"/>
        </w:rPr>
        <w:t>returned with the answers to the interrogatories</w:t>
      </w:r>
      <w:r>
        <w:rPr>
          <w:rFonts w:ascii="Arial" w:hAnsi="Arial" w:cs="Arial"/>
          <w:color w:val="000000"/>
        </w:rPr>
        <w:t xml:space="preserve"> or made available for examination and copying</w:t>
      </w:r>
      <w:r w:rsidRPr="00D73C59">
        <w:rPr>
          <w:rFonts w:ascii="Arial" w:hAnsi="Arial" w:cs="Arial"/>
          <w:color w:val="000000"/>
        </w:rPr>
        <w:t>.</w:t>
      </w:r>
      <w:r w:rsidRPr="00F34B0D">
        <w:rPr>
          <w:rFonts w:ascii="Arial" w:hAnsi="Arial" w:cs="Arial"/>
          <w:color w:val="000000"/>
        </w:rPr>
        <w:t xml:space="preserve"> </w:t>
      </w:r>
      <w:r w:rsidRPr="00E6309C">
        <w:rPr>
          <w:rFonts w:ascii="Arial" w:hAnsi="Arial" w:cs="Arial"/>
          <w:color w:val="000000"/>
        </w:rPr>
        <w:t>(</w:t>
      </w:r>
      <w:r w:rsidRPr="00E6309C">
        <w:rPr>
          <w:rStyle w:val="pxpl"/>
          <w:rFonts w:ascii="Arial" w:eastAsiaTheme="majorEastAsia" w:hAnsi="Arial" w:cs="Arial"/>
          <w:color w:val="000000"/>
        </w:rPr>
        <w:t>CPLR 3131).</w:t>
      </w:r>
      <w:r>
        <w:rPr>
          <w:rStyle w:val="pxpl"/>
          <w:rFonts w:ascii="Arial" w:eastAsiaTheme="majorEastAsia" w:hAnsi="Arial" w:cs="Arial"/>
          <w:color w:val="000000"/>
        </w:rPr>
        <w:t xml:space="preserve"> On the other hand, a </w:t>
      </w:r>
      <w:r w:rsidRPr="00E6309C">
        <w:rPr>
          <w:rStyle w:val="pxntc"/>
          <w:rFonts w:ascii="Arial" w:hAnsi="Arial" w:cs="Arial"/>
          <w:color w:val="000000"/>
        </w:rPr>
        <w:t xml:space="preserve"> deposition </w:t>
      </w:r>
      <w:r>
        <w:rPr>
          <w:rStyle w:val="pxntc"/>
          <w:rFonts w:ascii="Arial" w:hAnsi="Arial" w:cs="Arial"/>
          <w:color w:val="000000"/>
        </w:rPr>
        <w:t>in a matrimonial action is time-consuming and increases the client's legal fees substantially. It is not unusual for the deposition of a party</w:t>
      </w:r>
      <w:r w:rsidRPr="00E6309C">
        <w:rPr>
          <w:rStyle w:val="pxntc"/>
          <w:rFonts w:ascii="Arial" w:hAnsi="Arial" w:cs="Arial"/>
          <w:color w:val="000000"/>
        </w:rPr>
        <w:t xml:space="preserve"> </w:t>
      </w:r>
      <w:r>
        <w:rPr>
          <w:rStyle w:val="pxntc"/>
          <w:rFonts w:ascii="Arial" w:hAnsi="Arial" w:cs="Arial"/>
          <w:color w:val="000000"/>
        </w:rPr>
        <w:t xml:space="preserve">to be conducted for more than a day or two. Frequently, the </w:t>
      </w:r>
      <w:r w:rsidRPr="00E6309C">
        <w:rPr>
          <w:rStyle w:val="pxntc"/>
          <w:rFonts w:ascii="Arial" w:hAnsi="Arial" w:cs="Arial"/>
          <w:color w:val="000000"/>
        </w:rPr>
        <w:t xml:space="preserve">party </w:t>
      </w:r>
      <w:r>
        <w:rPr>
          <w:rStyle w:val="pxntc"/>
          <w:rFonts w:ascii="Arial" w:hAnsi="Arial" w:cs="Arial"/>
          <w:color w:val="000000"/>
        </w:rPr>
        <w:t xml:space="preserve">being </w:t>
      </w:r>
      <w:r w:rsidRPr="00E6309C">
        <w:rPr>
          <w:rStyle w:val="pxntc"/>
          <w:rFonts w:ascii="Arial" w:hAnsi="Arial" w:cs="Arial"/>
          <w:color w:val="000000"/>
        </w:rPr>
        <w:t xml:space="preserve">deposed </w:t>
      </w:r>
      <w:r>
        <w:rPr>
          <w:rStyle w:val="pxntc"/>
          <w:rFonts w:ascii="Arial" w:hAnsi="Arial" w:cs="Arial"/>
          <w:color w:val="000000"/>
        </w:rPr>
        <w:t xml:space="preserve">does not produce all of </w:t>
      </w:r>
      <w:r w:rsidRPr="00E6309C">
        <w:rPr>
          <w:rStyle w:val="pxntc"/>
          <w:rFonts w:ascii="Arial" w:hAnsi="Arial" w:cs="Arial"/>
          <w:color w:val="000000"/>
        </w:rPr>
        <w:t>the documents requested in the notice</w:t>
      </w:r>
      <w:r>
        <w:rPr>
          <w:rStyle w:val="pxntc"/>
          <w:rFonts w:ascii="Arial" w:hAnsi="Arial" w:cs="Arial"/>
          <w:color w:val="000000"/>
        </w:rPr>
        <w:t xml:space="preserve"> to take deposition (See CPLR 3111)</w:t>
      </w:r>
      <w:r w:rsidRPr="00E6309C">
        <w:rPr>
          <w:rStyle w:val="pxntc"/>
          <w:rFonts w:ascii="Arial" w:hAnsi="Arial" w:cs="Arial"/>
          <w:color w:val="000000"/>
        </w:rPr>
        <w:t xml:space="preserve"> and </w:t>
      </w:r>
      <w:r>
        <w:rPr>
          <w:rStyle w:val="pxntc"/>
          <w:rFonts w:ascii="Arial" w:hAnsi="Arial" w:cs="Arial"/>
          <w:color w:val="000000"/>
        </w:rPr>
        <w:t>offers to provide copies of the requested documents after the deposition concludes. Since these promises often go unfulfilled it is customary to adjourn the deposition until the documents are produced and the proponent of the deposition has the opportunity to question the witness about them at another session of the deposition.</w:t>
      </w:r>
    </w:p>
    <w:p w14:paraId="4FFC563B" w14:textId="77777777" w:rsidR="00B224CA" w:rsidRPr="00E6309C" w:rsidRDefault="00B224CA" w:rsidP="00B224CA">
      <w:pPr>
        <w:widowControl/>
        <w:shd w:val="clear" w:color="auto" w:fill="FFFFFF"/>
        <w:autoSpaceDE/>
        <w:autoSpaceDN/>
        <w:adjustRightInd/>
        <w:ind w:firstLine="720"/>
        <w:rPr>
          <w:rStyle w:val="pxntc"/>
          <w:rFonts w:ascii="Arial" w:hAnsi="Arial" w:cs="Arial"/>
          <w:color w:val="000000"/>
        </w:rPr>
      </w:pPr>
    </w:p>
    <w:p w14:paraId="2C14E637" w14:textId="384EB88A" w:rsidR="0042714D" w:rsidRDefault="0042714D" w:rsidP="0042714D">
      <w:pPr>
        <w:widowControl/>
        <w:autoSpaceDE/>
        <w:autoSpaceDN/>
        <w:adjustRightInd/>
        <w:ind w:firstLine="720"/>
        <w:rPr>
          <w:rFonts w:ascii="Arial" w:hAnsi="Arial" w:cs="Arial"/>
          <w:color w:val="000000"/>
          <w:shd w:val="clear" w:color="auto" w:fill="FFFFFF"/>
        </w:rPr>
      </w:pPr>
      <w:r>
        <w:rPr>
          <w:rStyle w:val="pxntc"/>
          <w:rFonts w:ascii="Arial" w:hAnsi="Arial" w:cs="Arial"/>
          <w:color w:val="000000"/>
        </w:rPr>
        <w:t>CPLR 3130 (</w:t>
      </w:r>
      <w:r w:rsidRPr="00F1421E">
        <w:rPr>
          <w:rFonts w:ascii="Arial" w:hAnsi="Arial" w:cs="Arial"/>
          <w:color w:val="000000"/>
          <w:shd w:val="clear" w:color="auto" w:fill="FFFFFF"/>
        </w:rPr>
        <w:t>1</w:t>
      </w:r>
      <w:r>
        <w:rPr>
          <w:rFonts w:ascii="Arial" w:hAnsi="Arial" w:cs="Arial"/>
          <w:color w:val="000000"/>
          <w:shd w:val="clear" w:color="auto" w:fill="FFFFFF"/>
        </w:rPr>
        <w:t xml:space="preserve">) </w:t>
      </w:r>
      <w:r w:rsidR="0024039B">
        <w:rPr>
          <w:rFonts w:ascii="Arial" w:hAnsi="Arial" w:cs="Arial"/>
          <w:color w:val="000000"/>
          <w:shd w:val="clear" w:color="auto" w:fill="FFFFFF"/>
        </w:rPr>
        <w:t xml:space="preserve">appears to give parties to a matrimonial action the </w:t>
      </w:r>
      <w:r w:rsidR="00502472">
        <w:rPr>
          <w:rFonts w:ascii="Arial" w:hAnsi="Arial" w:cs="Arial"/>
          <w:color w:val="000000"/>
          <w:shd w:val="clear" w:color="auto" w:fill="FFFFFF"/>
        </w:rPr>
        <w:t xml:space="preserve">absolute </w:t>
      </w:r>
      <w:r w:rsidR="0024039B">
        <w:rPr>
          <w:rFonts w:ascii="Arial" w:hAnsi="Arial" w:cs="Arial"/>
          <w:color w:val="000000"/>
          <w:shd w:val="clear" w:color="auto" w:fill="FFFFFF"/>
        </w:rPr>
        <w:t>right to use interrogatories</w:t>
      </w:r>
      <w:r w:rsidR="00502472">
        <w:rPr>
          <w:rFonts w:ascii="Arial" w:hAnsi="Arial" w:cs="Arial"/>
          <w:color w:val="000000"/>
          <w:shd w:val="clear" w:color="auto" w:fill="FFFFFF"/>
        </w:rPr>
        <w:t>.</w:t>
      </w:r>
      <w:r w:rsidR="0024039B">
        <w:rPr>
          <w:rFonts w:ascii="Arial" w:hAnsi="Arial" w:cs="Arial"/>
          <w:color w:val="000000"/>
          <w:shd w:val="clear" w:color="auto" w:fill="FFFFFF"/>
        </w:rPr>
        <w:t xml:space="preserve"> It </w:t>
      </w:r>
      <w:r>
        <w:rPr>
          <w:rFonts w:ascii="Arial" w:hAnsi="Arial" w:cs="Arial"/>
          <w:color w:val="000000"/>
          <w:shd w:val="clear" w:color="auto" w:fill="FFFFFF"/>
        </w:rPr>
        <w:t>provides</w:t>
      </w:r>
      <w:r w:rsidR="0024736D">
        <w:rPr>
          <w:rFonts w:ascii="Arial" w:hAnsi="Arial" w:cs="Arial"/>
          <w:color w:val="000000"/>
          <w:shd w:val="clear" w:color="auto" w:fill="FFFFFF"/>
        </w:rPr>
        <w:t>, in part,</w:t>
      </w:r>
      <w:r>
        <w:rPr>
          <w:rFonts w:ascii="Arial" w:hAnsi="Arial" w:cs="Arial"/>
          <w:color w:val="000000"/>
          <w:shd w:val="clear" w:color="auto" w:fill="FFFFFF"/>
        </w:rPr>
        <w:t xml:space="preserve"> that </w:t>
      </w:r>
      <w:r w:rsidR="0024736D">
        <w:rPr>
          <w:rFonts w:ascii="Arial" w:hAnsi="Arial" w:cs="Arial"/>
          <w:color w:val="000000"/>
          <w:shd w:val="clear" w:color="auto" w:fill="FFFFFF"/>
        </w:rPr>
        <w:t>“</w:t>
      </w:r>
      <w:r>
        <w:rPr>
          <w:rFonts w:ascii="Arial" w:hAnsi="Arial" w:cs="Arial"/>
          <w:color w:val="000000"/>
          <w:shd w:val="clear" w:color="auto" w:fill="FFFFFF"/>
        </w:rPr>
        <w:t>…</w:t>
      </w:r>
      <w:r w:rsidRPr="00F1421E">
        <w:rPr>
          <w:rFonts w:ascii="Arial" w:hAnsi="Arial" w:cs="Arial"/>
          <w:color w:val="000000"/>
          <w:shd w:val="clear" w:color="auto" w:fill="FFFFFF"/>
        </w:rPr>
        <w:t xml:space="preserve"> after commencement of an action, any party may serve upon any other party written interrogatories.</w:t>
      </w:r>
      <w:r>
        <w:rPr>
          <w:rFonts w:ascii="Arial" w:hAnsi="Arial" w:cs="Arial"/>
          <w:color w:val="000000"/>
          <w:shd w:val="clear" w:color="auto" w:fill="FFFFFF"/>
        </w:rPr>
        <w:t xml:space="preserve">” </w:t>
      </w:r>
      <w:r w:rsidRPr="00F1421E">
        <w:rPr>
          <w:rFonts w:ascii="Arial" w:hAnsi="Arial" w:cs="Arial"/>
          <w:color w:val="000000"/>
          <w:shd w:val="clear" w:color="auto" w:fill="FFFFFF"/>
        </w:rPr>
        <w:t xml:space="preserve"> </w:t>
      </w:r>
    </w:p>
    <w:p w14:paraId="71339F6B" w14:textId="0E9A7F58" w:rsidR="00E6659C" w:rsidRPr="00F1421E" w:rsidRDefault="00F1421E" w:rsidP="0042714D">
      <w:pPr>
        <w:widowControl/>
        <w:autoSpaceDE/>
        <w:autoSpaceDN/>
        <w:adjustRightInd/>
        <w:ind w:left="720"/>
        <w:rPr>
          <w:rFonts w:ascii="Arial" w:hAnsi="Arial" w:cs="Arial"/>
          <w:color w:val="000000"/>
        </w:rPr>
      </w:pPr>
      <w:r w:rsidRPr="00F1421E">
        <w:rPr>
          <w:rFonts w:ascii="Arial" w:hAnsi="Arial" w:cs="Arial"/>
          <w:color w:val="000000"/>
        </w:rPr>
        <w:br/>
      </w:r>
      <w:r w:rsidRPr="00E6659C">
        <w:rPr>
          <w:rFonts w:ascii="Arial" w:hAnsi="Arial" w:cs="Arial"/>
          <w:color w:val="212121"/>
        </w:rPr>
        <w:t xml:space="preserve">In Kaye v Kaye, </w:t>
      </w:r>
      <w:r w:rsidR="00E6659C" w:rsidRPr="00F1421E">
        <w:rPr>
          <w:rFonts w:ascii="Arial" w:hAnsi="Arial" w:cs="Arial"/>
          <w:color w:val="000000"/>
        </w:rPr>
        <w:t>102 A.D.2d 682, 692, 478 N.Y.S.2d 324 (2 Dept., July 16, 1984)</w:t>
      </w:r>
    </w:p>
    <w:p w14:paraId="301BD831" w14:textId="6AB64D97" w:rsidR="0042714D" w:rsidRDefault="00E6659C" w:rsidP="00E6659C">
      <w:pPr>
        <w:widowControl/>
        <w:autoSpaceDE/>
        <w:autoSpaceDN/>
        <w:adjustRightInd/>
        <w:rPr>
          <w:rFonts w:ascii="Arial" w:hAnsi="Arial" w:cs="Arial"/>
          <w:color w:val="000000"/>
          <w:shd w:val="clear" w:color="auto" w:fill="FFFFFF"/>
        </w:rPr>
      </w:pPr>
      <w:r>
        <w:rPr>
          <w:rFonts w:ascii="Arial" w:hAnsi="Arial" w:cs="Arial"/>
          <w:color w:val="212121"/>
        </w:rPr>
        <w:t>t</w:t>
      </w:r>
      <w:r w:rsidR="00F1421E" w:rsidRPr="00E6659C">
        <w:rPr>
          <w:rFonts w:ascii="Arial" w:hAnsi="Arial" w:cs="Arial"/>
          <w:color w:val="212121"/>
        </w:rPr>
        <w:t xml:space="preserve">he defendant husband's </w:t>
      </w:r>
      <w:r>
        <w:rPr>
          <w:rFonts w:ascii="Arial" w:hAnsi="Arial" w:cs="Arial"/>
          <w:color w:val="212121"/>
        </w:rPr>
        <w:t xml:space="preserve">had a </w:t>
      </w:r>
      <w:r w:rsidR="00F1421E" w:rsidRPr="00E6659C">
        <w:rPr>
          <w:rFonts w:ascii="Arial" w:hAnsi="Arial" w:cs="Arial"/>
          <w:color w:val="212121"/>
        </w:rPr>
        <w:t xml:space="preserve">minority interest in three of four closely held family corporations. </w:t>
      </w:r>
      <w:r>
        <w:rPr>
          <w:rFonts w:ascii="Arial" w:hAnsi="Arial" w:cs="Arial"/>
          <w:color w:val="212121"/>
        </w:rPr>
        <w:t>He was</w:t>
      </w:r>
      <w:r w:rsidR="00F1421E" w:rsidRPr="00E6659C">
        <w:rPr>
          <w:rFonts w:ascii="Arial" w:hAnsi="Arial" w:cs="Arial"/>
          <w:color w:val="212121"/>
        </w:rPr>
        <w:t xml:space="preserve"> a 40% shareholder in two of the corporations and h</w:t>
      </w:r>
      <w:r>
        <w:rPr>
          <w:rFonts w:ascii="Arial" w:hAnsi="Arial" w:cs="Arial"/>
          <w:color w:val="212121"/>
        </w:rPr>
        <w:t>eld</w:t>
      </w:r>
      <w:r w:rsidR="00F1421E" w:rsidRPr="00E6659C">
        <w:rPr>
          <w:rFonts w:ascii="Arial" w:hAnsi="Arial" w:cs="Arial"/>
          <w:color w:val="212121"/>
        </w:rPr>
        <w:t xml:space="preserve"> 12% of the shares in the third. The balance of the stock in the corporations </w:t>
      </w:r>
      <w:r>
        <w:rPr>
          <w:rFonts w:ascii="Arial" w:hAnsi="Arial" w:cs="Arial"/>
          <w:color w:val="212121"/>
        </w:rPr>
        <w:t>was</w:t>
      </w:r>
      <w:r w:rsidR="00F1421E" w:rsidRPr="00E6659C">
        <w:rPr>
          <w:rFonts w:ascii="Arial" w:hAnsi="Arial" w:cs="Arial"/>
          <w:color w:val="212121"/>
        </w:rPr>
        <w:t xml:space="preserve"> held by </w:t>
      </w:r>
      <w:r w:rsidR="0067156A">
        <w:rPr>
          <w:rFonts w:ascii="Arial" w:hAnsi="Arial" w:cs="Arial"/>
          <w:color w:val="212121"/>
        </w:rPr>
        <w:t xml:space="preserve">the </w:t>
      </w:r>
      <w:r w:rsidR="00F1421E" w:rsidRPr="00E6659C">
        <w:rPr>
          <w:rFonts w:ascii="Arial" w:hAnsi="Arial" w:cs="Arial"/>
          <w:color w:val="212121"/>
        </w:rPr>
        <w:t xml:space="preserve">defendant's brother and father. Plaintiff initiated disclosure by serving interrogatories upon </w:t>
      </w:r>
      <w:r w:rsidR="0067156A">
        <w:rPr>
          <w:rFonts w:ascii="Arial" w:hAnsi="Arial" w:cs="Arial"/>
          <w:color w:val="212121"/>
        </w:rPr>
        <w:t xml:space="preserve">the </w:t>
      </w:r>
      <w:r w:rsidR="00F1421E" w:rsidRPr="00E6659C">
        <w:rPr>
          <w:rFonts w:ascii="Arial" w:hAnsi="Arial" w:cs="Arial"/>
          <w:color w:val="212121"/>
        </w:rPr>
        <w:t xml:space="preserve">defendant seeking both personal financial information and financial information with respect to the four corporations. In response, </w:t>
      </w:r>
      <w:r w:rsidR="0067156A">
        <w:rPr>
          <w:rFonts w:ascii="Arial" w:hAnsi="Arial" w:cs="Arial"/>
          <w:color w:val="212121"/>
        </w:rPr>
        <w:t xml:space="preserve">the </w:t>
      </w:r>
      <w:r w:rsidR="00F1421E" w:rsidRPr="00E6659C">
        <w:rPr>
          <w:rFonts w:ascii="Arial" w:hAnsi="Arial" w:cs="Arial"/>
          <w:color w:val="212121"/>
        </w:rPr>
        <w:t xml:space="preserve">defendant made </w:t>
      </w:r>
      <w:r>
        <w:rPr>
          <w:rFonts w:ascii="Arial" w:hAnsi="Arial" w:cs="Arial"/>
          <w:color w:val="212121"/>
        </w:rPr>
        <w:t>an</w:t>
      </w:r>
      <w:r w:rsidR="00F1421E" w:rsidRPr="00E6659C">
        <w:rPr>
          <w:rFonts w:ascii="Arial" w:hAnsi="Arial" w:cs="Arial"/>
          <w:color w:val="212121"/>
        </w:rPr>
        <w:t xml:space="preserve"> application </w:t>
      </w:r>
      <w:r w:rsidR="00F1421E" w:rsidRPr="00E6659C">
        <w:rPr>
          <w:rFonts w:ascii="Arial" w:hAnsi="Arial" w:cs="Arial"/>
          <w:color w:val="212121"/>
        </w:rPr>
        <w:lastRenderedPageBreak/>
        <w:t>for a protective order as to certain of the interrogatories</w:t>
      </w:r>
      <w:r w:rsidRPr="00E6659C">
        <w:rPr>
          <w:rFonts w:ascii="Arial" w:hAnsi="Arial" w:cs="Arial"/>
          <w:color w:val="212121"/>
        </w:rPr>
        <w:t>.</w:t>
      </w:r>
      <w:r>
        <w:rPr>
          <w:rFonts w:ascii="Arial" w:hAnsi="Arial" w:cs="Arial"/>
          <w:color w:val="212121"/>
        </w:rPr>
        <w:t xml:space="preserve"> </w:t>
      </w:r>
      <w:r w:rsidR="00F1421E" w:rsidRPr="00E6659C">
        <w:rPr>
          <w:rFonts w:ascii="Arial" w:hAnsi="Arial" w:cs="Arial"/>
          <w:color w:val="212121"/>
        </w:rPr>
        <w:t xml:space="preserve">Special Term granted substantially all of the relief </w:t>
      </w:r>
      <w:r w:rsidR="0067156A">
        <w:rPr>
          <w:rFonts w:ascii="Arial" w:hAnsi="Arial" w:cs="Arial"/>
          <w:color w:val="212121"/>
        </w:rPr>
        <w:t>that</w:t>
      </w:r>
      <w:r w:rsidR="00F1421E" w:rsidRPr="00E6659C">
        <w:rPr>
          <w:rFonts w:ascii="Arial" w:hAnsi="Arial" w:cs="Arial"/>
          <w:color w:val="212121"/>
        </w:rPr>
        <w:t xml:space="preserve"> </w:t>
      </w:r>
      <w:r w:rsidR="0067156A">
        <w:rPr>
          <w:rFonts w:ascii="Arial" w:hAnsi="Arial" w:cs="Arial"/>
          <w:color w:val="212121"/>
        </w:rPr>
        <w:t xml:space="preserve">the </w:t>
      </w:r>
      <w:r w:rsidR="00F1421E" w:rsidRPr="00E6659C">
        <w:rPr>
          <w:rFonts w:ascii="Arial" w:hAnsi="Arial" w:cs="Arial"/>
          <w:color w:val="212121"/>
        </w:rPr>
        <w:t>defendant requested</w:t>
      </w:r>
      <w:r w:rsidRPr="00E6659C">
        <w:rPr>
          <w:rFonts w:ascii="Arial" w:hAnsi="Arial" w:cs="Arial"/>
          <w:color w:val="212121"/>
        </w:rPr>
        <w:t xml:space="preserve">. </w:t>
      </w:r>
      <w:r w:rsidR="00F1421E" w:rsidRPr="00E6659C">
        <w:rPr>
          <w:rFonts w:ascii="Arial" w:hAnsi="Arial" w:cs="Arial"/>
          <w:color w:val="212121"/>
        </w:rPr>
        <w:t>The court also limited the period of permitted disclosure to the three years immediately preceding the commencement of the divorce action and, in order to expedite discovery, </w:t>
      </w:r>
      <w:r w:rsidR="00F1421E" w:rsidRPr="00E6659C">
        <w:rPr>
          <w:rStyle w:val="Emphasis"/>
          <w:rFonts w:ascii="Arial" w:hAnsi="Arial" w:cs="Arial"/>
          <w:color w:val="212121"/>
        </w:rPr>
        <w:t>sua sponte</w:t>
      </w:r>
      <w:r w:rsidR="00F1421E" w:rsidRPr="00E6659C">
        <w:rPr>
          <w:rFonts w:ascii="Arial" w:hAnsi="Arial" w:cs="Arial"/>
          <w:color w:val="212121"/>
        </w:rPr>
        <w:t> directed the parties to proceed directly to depositions and circumscribed the records to be produced at th</w:t>
      </w:r>
      <w:r w:rsidR="009B2DFE">
        <w:rPr>
          <w:rFonts w:ascii="Arial" w:hAnsi="Arial" w:cs="Arial"/>
          <w:color w:val="212121"/>
        </w:rPr>
        <w:t>e</w:t>
      </w:r>
      <w:r w:rsidR="00F1421E" w:rsidRPr="00E6659C">
        <w:rPr>
          <w:rFonts w:ascii="Arial" w:hAnsi="Arial" w:cs="Arial"/>
          <w:color w:val="212121"/>
        </w:rPr>
        <w:t xml:space="preserve"> depositions.</w:t>
      </w:r>
      <w:r>
        <w:rPr>
          <w:rFonts w:ascii="Arial" w:hAnsi="Arial" w:cs="Arial"/>
          <w:color w:val="212121"/>
        </w:rPr>
        <w:t xml:space="preserve"> </w:t>
      </w:r>
      <w:r w:rsidRPr="00E6659C">
        <w:rPr>
          <w:rFonts w:ascii="Arial" w:hAnsi="Arial" w:cs="Arial"/>
          <w:color w:val="212121"/>
        </w:rPr>
        <w:t>The Appellate Division held that</w:t>
      </w:r>
      <w:r w:rsidRPr="00F1421E">
        <w:rPr>
          <w:rFonts w:ascii="Arial" w:hAnsi="Arial" w:cs="Arial"/>
          <w:color w:val="000000"/>
          <w:shd w:val="clear" w:color="auto" w:fill="FFFFFF"/>
        </w:rPr>
        <w:t xml:space="preserve"> plaintiff's initial use of interrogatories as a disclosure device did not constitute an abuse necessitating an exercise of discretion by Special Term to expedite disclosure. </w:t>
      </w:r>
      <w:r>
        <w:rPr>
          <w:rFonts w:ascii="Arial" w:hAnsi="Arial" w:cs="Arial"/>
          <w:color w:val="000000"/>
          <w:shd w:val="clear" w:color="auto" w:fill="FFFFFF"/>
        </w:rPr>
        <w:t xml:space="preserve">It stated that the </w:t>
      </w:r>
      <w:r w:rsidRPr="00F1421E">
        <w:rPr>
          <w:rFonts w:ascii="Arial" w:hAnsi="Arial" w:cs="Arial"/>
          <w:color w:val="000000"/>
          <w:shd w:val="clear" w:color="auto" w:fill="FFFFFF"/>
        </w:rPr>
        <w:t>general rule is that a party is “free to choose both the [pretrial disclosure] devices it wishes to use and the order in which to use them</w:t>
      </w:r>
      <w:r>
        <w:rPr>
          <w:rFonts w:ascii="Arial" w:hAnsi="Arial" w:cs="Arial"/>
          <w:color w:val="000000"/>
          <w:shd w:val="clear" w:color="auto" w:fill="FFFFFF"/>
        </w:rPr>
        <w:t>.</w:t>
      </w:r>
      <w:r w:rsidRPr="00F1421E">
        <w:rPr>
          <w:rFonts w:ascii="Arial" w:hAnsi="Arial" w:cs="Arial"/>
          <w:color w:val="000000"/>
          <w:shd w:val="clear" w:color="auto" w:fill="FFFFFF"/>
        </w:rPr>
        <w:t xml:space="preserve">” </w:t>
      </w:r>
      <w:r>
        <w:rPr>
          <w:rFonts w:ascii="Arial" w:hAnsi="Arial" w:cs="Arial"/>
          <w:color w:val="000000"/>
          <w:shd w:val="clear" w:color="auto" w:fill="FFFFFF"/>
        </w:rPr>
        <w:t>…</w:t>
      </w:r>
      <w:r w:rsidRPr="00F1421E">
        <w:rPr>
          <w:rFonts w:ascii="Arial" w:hAnsi="Arial" w:cs="Arial"/>
          <w:color w:val="000000"/>
          <w:shd w:val="clear" w:color="auto" w:fill="FFFFFF"/>
        </w:rPr>
        <w:t xml:space="preserve"> Further, the use of interrogatories as an initial disclosure device in complex equitable distribution cases will, in our view, expedite the discovery process</w:t>
      </w:r>
      <w:r w:rsidR="009B2DFE">
        <w:rPr>
          <w:rFonts w:ascii="Arial" w:hAnsi="Arial" w:cs="Arial"/>
          <w:color w:val="000000"/>
          <w:shd w:val="clear" w:color="auto" w:fill="FFFFFF"/>
        </w:rPr>
        <w:t>…”</w:t>
      </w:r>
      <w:r w:rsidRPr="00F1421E">
        <w:rPr>
          <w:rFonts w:ascii="Arial" w:hAnsi="Arial" w:cs="Arial"/>
          <w:color w:val="000000"/>
          <w:shd w:val="clear" w:color="auto" w:fill="FFFFFF"/>
        </w:rPr>
        <w:t>.</w:t>
      </w:r>
      <w:r>
        <w:rPr>
          <w:rFonts w:ascii="Arial" w:hAnsi="Arial" w:cs="Arial"/>
          <w:color w:val="000000"/>
          <w:shd w:val="clear" w:color="auto" w:fill="FFFFFF"/>
        </w:rPr>
        <w:t xml:space="preserve"> It held that </w:t>
      </w:r>
      <w:r w:rsidRPr="00F1421E">
        <w:rPr>
          <w:rFonts w:ascii="Arial" w:hAnsi="Arial" w:cs="Arial"/>
          <w:color w:val="000000"/>
          <w:shd w:val="clear" w:color="auto" w:fill="FFFFFF"/>
        </w:rPr>
        <w:t xml:space="preserve"> Special Term's direction that the parties proceed to depositions upon oral examination </w:t>
      </w:r>
      <w:r>
        <w:rPr>
          <w:rFonts w:ascii="Arial" w:hAnsi="Arial" w:cs="Arial"/>
          <w:color w:val="000000"/>
          <w:shd w:val="clear" w:color="auto" w:fill="FFFFFF"/>
        </w:rPr>
        <w:t>would</w:t>
      </w:r>
      <w:r w:rsidRPr="00F1421E">
        <w:rPr>
          <w:rFonts w:ascii="Arial" w:hAnsi="Arial" w:cs="Arial"/>
          <w:color w:val="000000"/>
          <w:shd w:val="clear" w:color="auto" w:fill="FFFFFF"/>
        </w:rPr>
        <w:t xml:space="preserve"> not expedite disclosure but may instead operate to prejudice </w:t>
      </w:r>
      <w:r w:rsidR="0067156A">
        <w:rPr>
          <w:rFonts w:ascii="Arial" w:hAnsi="Arial" w:cs="Arial"/>
          <w:color w:val="000000"/>
          <w:shd w:val="clear" w:color="auto" w:fill="FFFFFF"/>
        </w:rPr>
        <w:t xml:space="preserve">the </w:t>
      </w:r>
      <w:r w:rsidRPr="00F1421E">
        <w:rPr>
          <w:rFonts w:ascii="Arial" w:hAnsi="Arial" w:cs="Arial"/>
          <w:color w:val="000000"/>
          <w:shd w:val="clear" w:color="auto" w:fill="FFFFFF"/>
        </w:rPr>
        <w:t xml:space="preserve">plaintiff by preventing </w:t>
      </w:r>
      <w:r w:rsidR="0067156A">
        <w:rPr>
          <w:rFonts w:ascii="Arial" w:hAnsi="Arial" w:cs="Arial"/>
          <w:color w:val="000000"/>
          <w:shd w:val="clear" w:color="auto" w:fill="FFFFFF"/>
        </w:rPr>
        <w:t xml:space="preserve">the </w:t>
      </w:r>
      <w:r w:rsidRPr="00F1421E">
        <w:rPr>
          <w:rFonts w:ascii="Arial" w:hAnsi="Arial" w:cs="Arial"/>
          <w:color w:val="000000"/>
          <w:shd w:val="clear" w:color="auto" w:fill="FFFFFF"/>
        </w:rPr>
        <w:t>use of another, more appropriate, intermediate device.</w:t>
      </w:r>
    </w:p>
    <w:p w14:paraId="68BD5C4C" w14:textId="77777777" w:rsidR="0042714D" w:rsidRDefault="0042714D" w:rsidP="00E6659C">
      <w:pPr>
        <w:widowControl/>
        <w:autoSpaceDE/>
        <w:autoSpaceDN/>
        <w:adjustRightInd/>
        <w:rPr>
          <w:rFonts w:ascii="Arial" w:hAnsi="Arial" w:cs="Arial"/>
          <w:color w:val="000000"/>
          <w:shd w:val="clear" w:color="auto" w:fill="FFFFFF"/>
        </w:rPr>
      </w:pPr>
    </w:p>
    <w:p w14:paraId="218E5A19" w14:textId="5055A3B8" w:rsidR="004C2A35" w:rsidRDefault="0042714D" w:rsidP="00B224CA">
      <w:pPr>
        <w:widowControl/>
        <w:autoSpaceDE/>
        <w:autoSpaceDN/>
        <w:adjustRightInd/>
        <w:ind w:firstLine="720"/>
        <w:rPr>
          <w:rStyle w:val="pxntc"/>
          <w:rFonts w:ascii="Arial" w:hAnsi="Arial" w:cs="Arial"/>
          <w:color w:val="000000"/>
        </w:rPr>
      </w:pPr>
      <w:r>
        <w:rPr>
          <w:rFonts w:ascii="Arial" w:hAnsi="Arial" w:cs="Arial"/>
          <w:color w:val="000000"/>
          <w:shd w:val="clear" w:color="auto" w:fill="FFFFFF"/>
        </w:rPr>
        <w:t xml:space="preserve">In Kaye, supra, the court cited </w:t>
      </w:r>
      <w:r w:rsidRPr="009B2DFE">
        <w:rPr>
          <w:rFonts w:ascii="Arial" w:hAnsi="Arial" w:cs="Arial"/>
          <w:color w:val="000000"/>
        </w:rPr>
        <w:t>Barouh Eaton Allen Corp. v. I.B.M. Corp</w:t>
      </w:r>
      <w:r w:rsidRPr="009A7A07">
        <w:rPr>
          <w:rFonts w:ascii="Arial" w:hAnsi="Arial" w:cs="Arial"/>
          <w:i/>
          <w:iCs/>
          <w:color w:val="000000"/>
        </w:rPr>
        <w:t>.</w:t>
      </w:r>
      <w:r w:rsidRPr="009A7A07">
        <w:rPr>
          <w:rFonts w:ascii="Arial" w:hAnsi="Arial" w:cs="Arial"/>
          <w:color w:val="000000"/>
          <w:shd w:val="clear" w:color="auto" w:fill="FFFFFF"/>
        </w:rPr>
        <w:t xml:space="preserve">, </w:t>
      </w:r>
      <w:r w:rsidR="00A3253B">
        <w:rPr>
          <w:rFonts w:ascii="Arial" w:hAnsi="Arial" w:cs="Arial"/>
          <w:color w:val="000000"/>
          <w:shd w:val="clear" w:color="auto" w:fill="FFFFFF"/>
        </w:rPr>
        <w:t>(</w:t>
      </w:r>
      <w:r w:rsidRPr="009A7A07">
        <w:rPr>
          <w:rFonts w:ascii="Arial" w:hAnsi="Arial" w:cs="Arial"/>
          <w:color w:val="000000"/>
          <w:shd w:val="clear" w:color="auto" w:fill="FFFFFF"/>
        </w:rPr>
        <w:t>76 A.D.2d 873, 875, 429 N.Y.S.2d 33, 35 (2d Dep't 1980)</w:t>
      </w:r>
      <w:r w:rsidR="00A3253B">
        <w:rPr>
          <w:rFonts w:ascii="Arial" w:hAnsi="Arial" w:cs="Arial"/>
          <w:color w:val="000000"/>
          <w:shd w:val="clear" w:color="auto" w:fill="FFFFFF"/>
        </w:rPr>
        <w:t>)</w:t>
      </w:r>
      <w:r w:rsidRPr="009A7A07">
        <w:rPr>
          <w:rFonts w:ascii="Arial" w:hAnsi="Arial" w:cs="Arial"/>
          <w:color w:val="000000"/>
          <w:shd w:val="clear" w:color="auto" w:fill="FFFFFF"/>
        </w:rPr>
        <w:t xml:space="preserve">, </w:t>
      </w:r>
      <w:r>
        <w:rPr>
          <w:rFonts w:ascii="Arial" w:hAnsi="Arial" w:cs="Arial"/>
          <w:color w:val="000000"/>
          <w:shd w:val="clear" w:color="auto" w:fill="FFFFFF"/>
        </w:rPr>
        <w:t>where the Appellate Division</w:t>
      </w:r>
      <w:r w:rsidRPr="009A7A07">
        <w:rPr>
          <w:rFonts w:ascii="Arial" w:hAnsi="Arial" w:cs="Arial"/>
          <w:color w:val="000000"/>
          <w:shd w:val="clear" w:color="auto" w:fill="FFFFFF"/>
        </w:rPr>
        <w:t xml:space="preserve"> observed that “the initial use of proper interrogatories is preferred in order to save time and money</w:t>
      </w:r>
      <w:r>
        <w:rPr>
          <w:rFonts w:ascii="Arial" w:hAnsi="Arial" w:cs="Arial"/>
          <w:color w:val="000000"/>
          <w:shd w:val="clear" w:color="auto" w:fill="FFFFFF"/>
        </w:rPr>
        <w:t>” and found that it was</w:t>
      </w:r>
      <w:r w:rsidRPr="006E3F90">
        <w:rPr>
          <w:rFonts w:ascii="Arial" w:hAnsi="Arial" w:cs="Arial"/>
          <w:color w:val="000000"/>
          <w:shd w:val="clear" w:color="auto" w:fill="FFFFFF"/>
        </w:rPr>
        <w:t xml:space="preserve"> an improvident exercise of discretion for S</w:t>
      </w:r>
      <w:r>
        <w:rPr>
          <w:rFonts w:ascii="Arial" w:hAnsi="Arial" w:cs="Arial"/>
          <w:color w:val="000000"/>
          <w:shd w:val="clear" w:color="auto" w:fill="FFFFFF"/>
        </w:rPr>
        <w:t xml:space="preserve">upreme Court </w:t>
      </w:r>
      <w:r w:rsidR="009B2DFE">
        <w:rPr>
          <w:rFonts w:ascii="Arial" w:hAnsi="Arial" w:cs="Arial"/>
          <w:color w:val="000000"/>
          <w:shd w:val="clear" w:color="auto" w:fill="FFFFFF"/>
        </w:rPr>
        <w:t>t</w:t>
      </w:r>
      <w:r w:rsidRPr="006E3F90">
        <w:rPr>
          <w:rFonts w:ascii="Arial" w:hAnsi="Arial" w:cs="Arial"/>
          <w:color w:val="000000"/>
          <w:shd w:val="clear" w:color="auto" w:fill="FFFFFF"/>
        </w:rPr>
        <w:t xml:space="preserve">o require </w:t>
      </w:r>
      <w:r w:rsidR="0067156A">
        <w:rPr>
          <w:rFonts w:ascii="Arial" w:hAnsi="Arial" w:cs="Arial"/>
          <w:color w:val="000000"/>
          <w:shd w:val="clear" w:color="auto" w:fill="FFFFFF"/>
        </w:rPr>
        <w:t xml:space="preserve">the </w:t>
      </w:r>
      <w:r w:rsidRPr="006E3F90">
        <w:rPr>
          <w:rFonts w:ascii="Arial" w:hAnsi="Arial" w:cs="Arial"/>
          <w:color w:val="000000"/>
          <w:shd w:val="clear" w:color="auto" w:fill="FFFFFF"/>
        </w:rPr>
        <w:t xml:space="preserve">defendant to proceed with the disclosure process by oral deposition, rather than by interrogatories. </w:t>
      </w:r>
      <w:r>
        <w:rPr>
          <w:rFonts w:ascii="Arial" w:hAnsi="Arial" w:cs="Arial"/>
          <w:color w:val="000000"/>
          <w:shd w:val="clear" w:color="auto" w:fill="FFFFFF"/>
        </w:rPr>
        <w:t>It noted that t</w:t>
      </w:r>
      <w:r w:rsidRPr="006E3F90">
        <w:rPr>
          <w:rFonts w:ascii="Arial" w:hAnsi="Arial" w:cs="Arial"/>
          <w:color w:val="000000"/>
          <w:shd w:val="clear" w:color="auto" w:fill="FFFFFF"/>
        </w:rPr>
        <w:t>he CPLR does not set forth any order of priority as to the use of the various disclosure devices. A party is generally free to choose both the devices it wishes to use and the order in which to use them. This freedom of choice is, of course, subject to judicial intervention if the process is abused (see CPLR 3103, subd [a]). The courts may direct the priority by which a party may use the disclosure devices if it finds on the particular facts that expedition will result from the use of one device prior to another.</w:t>
      </w:r>
      <w:r>
        <w:rPr>
          <w:rFonts w:ascii="Arial" w:hAnsi="Arial" w:cs="Arial"/>
          <w:color w:val="000000"/>
          <w:shd w:val="clear" w:color="auto" w:fill="FFFFFF"/>
        </w:rPr>
        <w:t xml:space="preserve"> It stated that in</w:t>
      </w:r>
      <w:r w:rsidRPr="009274DA">
        <w:rPr>
          <w:rFonts w:ascii="Arial" w:hAnsi="Arial" w:cs="Arial"/>
          <w:color w:val="000000"/>
          <w:shd w:val="clear" w:color="auto" w:fill="FFFFFF"/>
        </w:rPr>
        <w:t xml:space="preserve"> complex commercial cases and when dealing with corporations, the initial use of proper interrogatories is preferred in order to save time and money</w:t>
      </w:r>
      <w:r>
        <w:rPr>
          <w:rFonts w:ascii="Arial" w:hAnsi="Arial" w:cs="Arial"/>
          <w:color w:val="000000"/>
          <w:shd w:val="clear" w:color="auto" w:fill="FFFFFF"/>
        </w:rPr>
        <w:t xml:space="preserve">. </w:t>
      </w:r>
      <w:r w:rsidRPr="009274DA">
        <w:rPr>
          <w:rFonts w:ascii="Arial" w:hAnsi="Arial" w:cs="Arial"/>
          <w:color w:val="000000"/>
          <w:shd w:val="clear" w:color="auto" w:fill="FFFFFF"/>
        </w:rPr>
        <w:t xml:space="preserve"> </w:t>
      </w:r>
      <w:r w:rsidRPr="009274DA">
        <w:rPr>
          <w:rFonts w:ascii="Arial" w:hAnsi="Arial" w:cs="Arial"/>
          <w:color w:val="000000"/>
        </w:rPr>
        <w:br/>
      </w:r>
    </w:p>
    <w:p w14:paraId="5379B065" w14:textId="5E8656BB" w:rsidR="0042714D" w:rsidRPr="0042714D" w:rsidRDefault="0042714D" w:rsidP="0042714D">
      <w:pPr>
        <w:rPr>
          <w:rFonts w:ascii="Arial" w:hAnsi="Arial" w:cs="Arial"/>
        </w:rPr>
      </w:pPr>
      <w:r>
        <w:tab/>
      </w:r>
      <w:r w:rsidRPr="0042714D">
        <w:rPr>
          <w:rFonts w:ascii="Arial" w:hAnsi="Arial" w:cs="Arial"/>
        </w:rPr>
        <w:t>While the use of interrogatories has been criticized in commercial cases</w:t>
      </w:r>
      <w:r w:rsidR="00646190">
        <w:rPr>
          <w:rFonts w:ascii="Arial" w:hAnsi="Arial" w:cs="Arial"/>
        </w:rPr>
        <w:t xml:space="preserve"> where the parties may have unlimited resources to use </w:t>
      </w:r>
      <w:r w:rsidR="004C2A35">
        <w:rPr>
          <w:rFonts w:ascii="Arial" w:hAnsi="Arial" w:cs="Arial"/>
        </w:rPr>
        <w:t xml:space="preserve">interrogatories </w:t>
      </w:r>
      <w:r w:rsidR="00646190">
        <w:rPr>
          <w:rFonts w:ascii="Arial" w:hAnsi="Arial" w:cs="Arial"/>
        </w:rPr>
        <w:t>to harass an adversary</w:t>
      </w:r>
      <w:r w:rsidR="009B2DFE">
        <w:rPr>
          <w:rFonts w:ascii="Arial" w:hAnsi="Arial" w:cs="Arial"/>
        </w:rPr>
        <w:t xml:space="preserve"> </w:t>
      </w:r>
      <w:r w:rsidR="00A11A1D">
        <w:rPr>
          <w:rFonts w:ascii="Arial" w:hAnsi="Arial" w:cs="Arial"/>
        </w:rPr>
        <w:t xml:space="preserve">with irrelevant and burdensome questions, </w:t>
      </w:r>
      <w:r w:rsidR="009B2DFE">
        <w:rPr>
          <w:rFonts w:ascii="Arial" w:hAnsi="Arial" w:cs="Arial"/>
        </w:rPr>
        <w:t xml:space="preserve">we are not aware of </w:t>
      </w:r>
      <w:r w:rsidRPr="0042714D">
        <w:rPr>
          <w:rFonts w:ascii="Arial" w:hAnsi="Arial" w:cs="Arial"/>
        </w:rPr>
        <w:t>the</w:t>
      </w:r>
      <w:r>
        <w:rPr>
          <w:rFonts w:ascii="Arial" w:hAnsi="Arial" w:cs="Arial"/>
        </w:rPr>
        <w:t xml:space="preserve">ir use </w:t>
      </w:r>
      <w:r w:rsidR="00A11A1D">
        <w:rPr>
          <w:rFonts w:ascii="Arial" w:hAnsi="Arial" w:cs="Arial"/>
        </w:rPr>
        <w:t xml:space="preserve">having </w:t>
      </w:r>
      <w:r w:rsidRPr="0042714D">
        <w:rPr>
          <w:rFonts w:ascii="Arial" w:hAnsi="Arial" w:cs="Arial"/>
        </w:rPr>
        <w:t xml:space="preserve">ever been criticized </w:t>
      </w:r>
      <w:r w:rsidR="00A11A1D">
        <w:rPr>
          <w:rFonts w:ascii="Arial" w:hAnsi="Arial" w:cs="Arial"/>
        </w:rPr>
        <w:t xml:space="preserve">by </w:t>
      </w:r>
      <w:r w:rsidR="0067156A">
        <w:rPr>
          <w:rFonts w:ascii="Arial" w:hAnsi="Arial" w:cs="Arial"/>
        </w:rPr>
        <w:t xml:space="preserve">a </w:t>
      </w:r>
      <w:r w:rsidR="00A11A1D">
        <w:rPr>
          <w:rFonts w:ascii="Arial" w:hAnsi="Arial" w:cs="Arial"/>
        </w:rPr>
        <w:t xml:space="preserve">court </w:t>
      </w:r>
      <w:r w:rsidRPr="0042714D">
        <w:rPr>
          <w:rFonts w:ascii="Arial" w:hAnsi="Arial" w:cs="Arial"/>
        </w:rPr>
        <w:t xml:space="preserve">in </w:t>
      </w:r>
      <w:r w:rsidR="00A11A1D">
        <w:rPr>
          <w:rFonts w:ascii="Arial" w:hAnsi="Arial" w:cs="Arial"/>
        </w:rPr>
        <w:t>matrimonial actions</w:t>
      </w:r>
      <w:r w:rsidR="004C2A35">
        <w:rPr>
          <w:rFonts w:ascii="Arial" w:hAnsi="Arial" w:cs="Arial"/>
          <w:color w:val="000000"/>
          <w:shd w:val="clear" w:color="auto" w:fill="FFFFFF"/>
        </w:rPr>
        <w:t>.</w:t>
      </w:r>
    </w:p>
    <w:p w14:paraId="1BDFC15C" w14:textId="238255CE" w:rsidR="009D1633" w:rsidRDefault="009D1633" w:rsidP="007B0D52">
      <w:pPr>
        <w:pStyle w:val="Heading3"/>
        <w:shd w:val="clear" w:color="auto" w:fill="FFFFFF"/>
        <w:spacing w:before="0"/>
        <w:ind w:firstLine="720"/>
        <w:rPr>
          <w:rFonts w:ascii="Arial" w:hAnsi="Arial" w:cs="Arial"/>
          <w:color w:val="000000"/>
        </w:rPr>
      </w:pPr>
    </w:p>
    <w:p w14:paraId="3395B6FC" w14:textId="62BA2C3B" w:rsidR="000F34A9" w:rsidRPr="00E6309C" w:rsidRDefault="00E6309C" w:rsidP="00EC2047">
      <w:pPr>
        <w:pStyle w:val="pxs"/>
        <w:rPr>
          <w:rFonts w:ascii="Arial" w:hAnsi="Arial" w:cs="Arial"/>
          <w:color w:val="000000"/>
        </w:rPr>
      </w:pPr>
      <w:r w:rsidRPr="00E6309C">
        <w:rPr>
          <w:rStyle w:val="pxntc"/>
          <w:rFonts w:ascii="Arial" w:hAnsi="Arial" w:cs="Arial"/>
          <w:color w:val="000000"/>
        </w:rPr>
        <w:tab/>
      </w:r>
      <w:r w:rsidRPr="00E6309C">
        <w:rPr>
          <w:rStyle w:val="pxpl"/>
          <w:rFonts w:ascii="Arial" w:eastAsiaTheme="majorEastAsia" w:hAnsi="Arial" w:cs="Arial"/>
          <w:color w:val="000000"/>
        </w:rPr>
        <w:fldChar w:fldCharType="begin"/>
      </w:r>
      <w:r w:rsidRPr="00E6309C">
        <w:rPr>
          <w:rStyle w:val="pxpl"/>
          <w:rFonts w:ascii="Arial" w:eastAsiaTheme="majorEastAsia" w:hAnsi="Arial" w:cs="Arial"/>
          <w:color w:val="000000"/>
        </w:rPr>
        <w:instrText>st.ref.id="I07H5TU"</w:instrText>
      </w:r>
      <w:r w:rsidRPr="00E6309C">
        <w:rPr>
          <w:rStyle w:val="pxpl"/>
          <w:rFonts w:ascii="Arial" w:eastAsiaTheme="majorEastAsia" w:hAnsi="Arial" w:cs="Arial"/>
          <w:color w:val="000000"/>
        </w:rPr>
        <w:fldChar w:fldCharType="end"/>
      </w:r>
      <w:r w:rsidR="000F34A9" w:rsidRPr="00E6309C">
        <w:rPr>
          <w:rFonts w:ascii="Arial" w:hAnsi="Arial" w:cs="Arial"/>
          <w:color w:val="000000"/>
        </w:rPr>
        <w:t>In Lobatto v. Lobatto,</w:t>
      </w:r>
      <w:r w:rsidR="000F34A9" w:rsidRPr="00D84F8E">
        <w:rPr>
          <w:rStyle w:val="Heading1Char"/>
          <w:rFonts w:ascii="Arial" w:hAnsi="Arial" w:cs="Arial"/>
          <w:b w:val="0"/>
          <w:bCs w:val="0"/>
          <w:sz w:val="24"/>
          <w:szCs w:val="24"/>
        </w:rPr>
        <w:t>109 A.D.2d 697, 487 N.Y.S.2d 326 (1st Dep't 1985)</w:t>
      </w:r>
      <w:r w:rsidR="000F34A9">
        <w:rPr>
          <w:color w:val="000000"/>
        </w:rPr>
        <w:t>)</w:t>
      </w:r>
      <w:r w:rsidR="000F34A9" w:rsidRPr="00D84F8E">
        <w:rPr>
          <w:color w:val="000000"/>
        </w:rPr>
        <w:t xml:space="preserve"> </w:t>
      </w:r>
      <w:r w:rsidR="000F34A9" w:rsidRPr="00E6309C">
        <w:rPr>
          <w:rFonts w:ascii="Arial" w:hAnsi="Arial" w:cs="Arial"/>
          <w:color w:val="000000"/>
        </w:rPr>
        <w:t xml:space="preserve">the Appellate Division </w:t>
      </w:r>
      <w:r w:rsidR="00646190">
        <w:rPr>
          <w:rFonts w:ascii="Arial" w:hAnsi="Arial" w:cs="Arial"/>
          <w:color w:val="000000"/>
        </w:rPr>
        <w:t xml:space="preserve">observed that </w:t>
      </w:r>
      <w:r w:rsidR="00646190" w:rsidRPr="00646190">
        <w:rPr>
          <w:rFonts w:ascii="Arial" w:hAnsi="Arial" w:cs="Arial"/>
          <w:color w:val="000000"/>
          <w:shd w:val="clear" w:color="auto" w:fill="FFFFFF"/>
        </w:rPr>
        <w:t>in complicated equitable distribution cases the use of interrogatories as an initial discovery device is often the best and most realistic tool for full and expeditious financial disclosure</w:t>
      </w:r>
      <w:r w:rsidR="00646190">
        <w:rPr>
          <w:rFonts w:ascii="Arial" w:hAnsi="Arial" w:cs="Arial"/>
          <w:color w:val="000000"/>
          <w:shd w:val="clear" w:color="auto" w:fill="FFFFFF"/>
        </w:rPr>
        <w:t>. It noted that</w:t>
      </w:r>
      <w:r w:rsidR="000F34A9" w:rsidRPr="00E6309C">
        <w:rPr>
          <w:rFonts w:ascii="Arial" w:hAnsi="Arial" w:cs="Arial"/>
          <w:color w:val="000000"/>
        </w:rPr>
        <w:t xml:space="preserve"> under the Domestic Relations Law broad disclosure is required by way of the searching of a parties' assets and financial dealings, including interests in business entities acquired during the marriage. While the wife's interrogatories were detailed and extensive, the court noted that where, as here, the case is lengthy and complex and made even more difficult by the husband's reluctance to furnish the necessary information on the ground that the wife had no entitlement to his assets, claiming it was separate property, the interrogatories </w:t>
      </w:r>
      <w:r w:rsidR="00E02E6B">
        <w:rPr>
          <w:rFonts w:ascii="Arial" w:hAnsi="Arial" w:cs="Arial"/>
          <w:color w:val="000000"/>
        </w:rPr>
        <w:t>were</w:t>
      </w:r>
      <w:r w:rsidR="000F34A9" w:rsidRPr="00E6309C">
        <w:rPr>
          <w:rFonts w:ascii="Arial" w:hAnsi="Arial" w:cs="Arial"/>
          <w:color w:val="000000"/>
        </w:rPr>
        <w:t xml:space="preserve"> </w:t>
      </w:r>
      <w:r w:rsidR="000F34A9" w:rsidRPr="00E6309C">
        <w:rPr>
          <w:rFonts w:ascii="Arial" w:hAnsi="Arial" w:cs="Arial"/>
          <w:color w:val="000000"/>
        </w:rPr>
        <w:lastRenderedPageBreak/>
        <w:t>appropriate. The court noted that the purpose of a deep probe into a spouse's finances is to permit a determination as to what constitutes marital property, to distinguish it from separate property, to uncover hidden assets</w:t>
      </w:r>
      <w:r w:rsidR="00A276E4">
        <w:rPr>
          <w:rFonts w:ascii="Arial" w:hAnsi="Arial" w:cs="Arial"/>
          <w:color w:val="000000"/>
        </w:rPr>
        <w:t>,</w:t>
      </w:r>
      <w:r w:rsidR="000F34A9" w:rsidRPr="00E6309C">
        <w:rPr>
          <w:rFonts w:ascii="Arial" w:hAnsi="Arial" w:cs="Arial"/>
          <w:color w:val="000000"/>
        </w:rPr>
        <w:t xml:space="preserve"> and to gather all relevant information for purposes of equitable distribution. </w:t>
      </w:r>
    </w:p>
    <w:p w14:paraId="4FA2CE90" w14:textId="77777777" w:rsidR="000F34A9" w:rsidRDefault="000F34A9" w:rsidP="00240A06">
      <w:pPr>
        <w:pStyle w:val="pxs"/>
        <w:ind w:firstLine="720"/>
        <w:rPr>
          <w:rFonts w:ascii="Arial" w:hAnsi="Arial" w:cs="Arial"/>
        </w:rPr>
      </w:pPr>
    </w:p>
    <w:p w14:paraId="2A4B2E97" w14:textId="5BC746F8" w:rsidR="00EC2047" w:rsidRDefault="00EC2047" w:rsidP="00EC2047">
      <w:pPr>
        <w:pStyle w:val="pxs"/>
        <w:ind w:firstLine="720"/>
        <w:rPr>
          <w:rStyle w:val="pxntc"/>
          <w:rFonts w:ascii="Arial" w:hAnsi="Arial" w:cs="Arial"/>
          <w:color w:val="000000"/>
        </w:rPr>
      </w:pPr>
      <w:r w:rsidRPr="00E6309C">
        <w:rPr>
          <w:rFonts w:ascii="Arial" w:hAnsi="Arial" w:cs="Arial"/>
          <w:color w:val="000000"/>
        </w:rPr>
        <w:t>In Briger v. Briger</w:t>
      </w:r>
      <w:r w:rsidRPr="00E6309C">
        <w:rPr>
          <w:rStyle w:val="Heading1Char"/>
          <w:rFonts w:ascii="Arial" w:hAnsi="Arial" w:cs="Arial"/>
          <w:sz w:val="24"/>
          <w:szCs w:val="24"/>
        </w:rPr>
        <w:t xml:space="preserve"> </w:t>
      </w:r>
      <w:r w:rsidRPr="00D84F8E">
        <w:rPr>
          <w:rStyle w:val="Heading1Char"/>
          <w:rFonts w:ascii="Arial" w:hAnsi="Arial" w:cs="Arial"/>
          <w:b w:val="0"/>
          <w:bCs w:val="0"/>
          <w:sz w:val="24"/>
          <w:szCs w:val="24"/>
        </w:rPr>
        <w:t>(110 A.D.2d 526, 487 N.Y.S.2d 756 (1st Dep't 1985))</w:t>
      </w:r>
      <w:r w:rsidRPr="00E6309C">
        <w:rPr>
          <w:rFonts w:ascii="Arial" w:hAnsi="Arial" w:cs="Arial"/>
          <w:color w:val="000000"/>
        </w:rPr>
        <w:t xml:space="preserve"> the Appellate Division held that the wife's interrogatory pertaining to gifts from third parties valued in excess of $500 was not unreasonable and should not have been stricken; that the wife was entitled to know in which separate property the husband would claim an interest; and that the interrogatories calling for data supporting information disclosed in the parties' net worth statements were proper. The husband was a lawyer with substantial tax shelter investments. Although there were 65 questions with 353 subparts, the court did not find them oppressive to the point of vacatur. It held that a       spouse with a minority interest in a business enterprise may be required to provide information within his </w:t>
      </w:r>
      <w:r w:rsidRPr="00E6309C">
        <w:rPr>
          <w:rFonts w:ascii="Arial" w:hAnsi="Arial" w:cs="Arial"/>
          <w:vanish/>
          <w:color w:val="000000"/>
        </w:rPr>
        <w:t>&amp;ldquo;</w:t>
      </w:r>
      <w:r w:rsidRPr="00E6309C">
        <w:rPr>
          <w:rStyle w:val="pxntc"/>
          <w:rFonts w:ascii="Arial" w:hAnsi="Arial" w:cs="Arial"/>
          <w:color w:val="000000"/>
        </w:rPr>
        <w:t>“</w:t>
      </w:r>
      <w:r w:rsidRPr="00E6309C">
        <w:rPr>
          <w:rFonts w:ascii="Arial" w:hAnsi="Arial" w:cs="Arial"/>
          <w:color w:val="000000"/>
        </w:rPr>
        <w:t>possession, custody</w:t>
      </w:r>
      <w:r>
        <w:rPr>
          <w:rFonts w:ascii="Arial" w:hAnsi="Arial" w:cs="Arial"/>
          <w:color w:val="000000"/>
        </w:rPr>
        <w:t>,</w:t>
      </w:r>
      <w:r w:rsidRPr="00E6309C">
        <w:rPr>
          <w:rFonts w:ascii="Arial" w:hAnsi="Arial" w:cs="Arial"/>
          <w:color w:val="000000"/>
        </w:rPr>
        <w:t xml:space="preserve"> and control.</w:t>
      </w:r>
      <w:r w:rsidRPr="00E6309C">
        <w:rPr>
          <w:rFonts w:ascii="Arial" w:hAnsi="Arial" w:cs="Arial"/>
          <w:vanish/>
          <w:color w:val="000000"/>
        </w:rPr>
        <w:t>&amp;rdquo;</w:t>
      </w:r>
      <w:r w:rsidRPr="00E6309C">
        <w:rPr>
          <w:rStyle w:val="pxntc"/>
          <w:rFonts w:ascii="Arial" w:hAnsi="Arial" w:cs="Arial"/>
          <w:color w:val="000000"/>
        </w:rPr>
        <w:t>”</w:t>
      </w:r>
    </w:p>
    <w:p w14:paraId="5814A001" w14:textId="77777777" w:rsidR="00EC2047" w:rsidRPr="00FC6F1E" w:rsidRDefault="00EC2047" w:rsidP="00FC6F1E"/>
    <w:p w14:paraId="69B8A6C8" w14:textId="77777777" w:rsidR="00274322" w:rsidRPr="00F34B0D" w:rsidRDefault="00274322" w:rsidP="00274322">
      <w:pPr>
        <w:pStyle w:val="Heading3"/>
        <w:shd w:val="clear" w:color="auto" w:fill="FFFFFF"/>
        <w:spacing w:before="0"/>
        <w:ind w:firstLine="720"/>
        <w:rPr>
          <w:rFonts w:ascii="Arial" w:hAnsi="Arial" w:cs="Arial"/>
          <w:color w:val="000000"/>
        </w:rPr>
      </w:pPr>
      <w:r w:rsidRPr="00E6309C">
        <w:rPr>
          <w:rFonts w:ascii="Arial" w:hAnsi="Arial" w:cs="Arial"/>
          <w:color w:val="000000"/>
        </w:rPr>
        <w:t xml:space="preserve">The answers </w:t>
      </w:r>
      <w:r>
        <w:rPr>
          <w:rFonts w:ascii="Arial" w:hAnsi="Arial" w:cs="Arial"/>
          <w:color w:val="000000"/>
        </w:rPr>
        <w:t xml:space="preserve">to interrogatories </w:t>
      </w:r>
      <w:r w:rsidRPr="00E6309C">
        <w:rPr>
          <w:rFonts w:ascii="Arial" w:hAnsi="Arial" w:cs="Arial"/>
          <w:color w:val="000000"/>
        </w:rPr>
        <w:t>may be used to the same extent as the deposition of a party. Since the deposition of an adverse party so far as admissible under the rules of evidence,</w:t>
      </w:r>
      <w:r>
        <w:rPr>
          <w:rFonts w:ascii="Arial" w:hAnsi="Arial" w:cs="Arial"/>
          <w:color w:val="000000"/>
        </w:rPr>
        <w:t xml:space="preserve"> </w:t>
      </w:r>
      <w:r w:rsidRPr="00E6309C">
        <w:rPr>
          <w:rFonts w:ascii="Arial" w:hAnsi="Arial" w:cs="Arial"/>
          <w:color w:val="000000"/>
        </w:rPr>
        <w:t>may be used for any purpose including contradicting or impeaching the testimony of that party, interrogatories may be used to impeach or contradict the testimony of a party</w:t>
      </w:r>
      <w:r>
        <w:rPr>
          <w:rFonts w:ascii="Arial" w:hAnsi="Arial" w:cs="Arial"/>
          <w:color w:val="000000"/>
        </w:rPr>
        <w:t xml:space="preserve">. </w:t>
      </w:r>
      <w:r w:rsidRPr="00E6309C">
        <w:rPr>
          <w:rStyle w:val="pxpl"/>
          <w:rFonts w:ascii="Arial" w:hAnsi="Arial" w:cs="Arial"/>
          <w:color w:val="000000"/>
        </w:rPr>
        <w:t>(CPLR 3117)</w:t>
      </w:r>
      <w:r w:rsidRPr="00E6309C">
        <w:rPr>
          <w:rFonts w:ascii="Arial" w:hAnsi="Arial" w:cs="Arial"/>
          <w:color w:val="000000"/>
        </w:rPr>
        <w:t xml:space="preserve"> </w:t>
      </w:r>
      <w:r>
        <w:rPr>
          <w:rFonts w:ascii="Arial" w:hAnsi="Arial" w:cs="Arial"/>
          <w:color w:val="000000"/>
        </w:rPr>
        <w:t xml:space="preserve">As a practical matter, this can only be done if </w:t>
      </w:r>
      <w:r w:rsidRPr="00E6309C">
        <w:rPr>
          <w:rFonts w:ascii="Arial" w:hAnsi="Arial" w:cs="Arial"/>
          <w:color w:val="000000"/>
        </w:rPr>
        <w:t>the interrogatories are answered in proper form.</w:t>
      </w:r>
      <w:r w:rsidRPr="00E6309C">
        <w:rPr>
          <w:rFonts w:ascii="Arial" w:hAnsi="Arial" w:cs="Arial"/>
        </w:rPr>
        <w:t xml:space="preserve"> </w:t>
      </w:r>
      <w:r>
        <w:rPr>
          <w:rFonts w:ascii="Arial" w:hAnsi="Arial" w:cs="Arial"/>
          <w:color w:val="000000"/>
        </w:rPr>
        <w:t>I</w:t>
      </w:r>
      <w:r w:rsidRPr="00F34B0D">
        <w:rPr>
          <w:rFonts w:ascii="Arial" w:hAnsi="Arial" w:cs="Arial"/>
          <w:color w:val="000000"/>
          <w:shd w:val="clear" w:color="auto" w:fill="FFFFFF"/>
        </w:rPr>
        <w:t xml:space="preserve">nterrogatories </w:t>
      </w:r>
      <w:r>
        <w:rPr>
          <w:rFonts w:ascii="Arial" w:hAnsi="Arial" w:cs="Arial"/>
          <w:color w:val="000000"/>
          <w:shd w:val="clear" w:color="auto" w:fill="FFFFFF"/>
        </w:rPr>
        <w:t>must</w:t>
      </w:r>
      <w:r w:rsidRPr="00F34B0D">
        <w:rPr>
          <w:rFonts w:ascii="Arial" w:hAnsi="Arial" w:cs="Arial"/>
          <w:color w:val="000000"/>
          <w:shd w:val="clear" w:color="auto" w:fill="FFFFFF"/>
        </w:rPr>
        <w:t xml:space="preserve"> be answered in writing under oath by the party served. Each question </w:t>
      </w:r>
      <w:r>
        <w:rPr>
          <w:rFonts w:ascii="Arial" w:hAnsi="Arial" w:cs="Arial"/>
          <w:color w:val="000000"/>
          <w:shd w:val="clear" w:color="auto" w:fill="FFFFFF"/>
        </w:rPr>
        <w:t>must</w:t>
      </w:r>
      <w:r w:rsidRPr="00F34B0D">
        <w:rPr>
          <w:rFonts w:ascii="Arial" w:hAnsi="Arial" w:cs="Arial"/>
          <w:color w:val="000000"/>
          <w:shd w:val="clear" w:color="auto" w:fill="FFFFFF"/>
        </w:rPr>
        <w:t xml:space="preserve"> be answered separately and fully, and each answer </w:t>
      </w:r>
      <w:r>
        <w:rPr>
          <w:rFonts w:ascii="Arial" w:hAnsi="Arial" w:cs="Arial"/>
          <w:color w:val="000000"/>
          <w:shd w:val="clear" w:color="auto" w:fill="FFFFFF"/>
        </w:rPr>
        <w:t xml:space="preserve">must </w:t>
      </w:r>
      <w:r w:rsidRPr="00F34B0D">
        <w:rPr>
          <w:rFonts w:ascii="Arial" w:hAnsi="Arial" w:cs="Arial"/>
          <w:color w:val="000000"/>
          <w:shd w:val="clear" w:color="auto" w:fill="FFFFFF"/>
        </w:rPr>
        <w:t>be preceded by the question to which it responds.</w:t>
      </w:r>
      <w:r>
        <w:rPr>
          <w:rFonts w:ascii="Arial" w:hAnsi="Arial" w:cs="Arial"/>
          <w:color w:val="000000"/>
          <w:shd w:val="clear" w:color="auto" w:fill="FFFFFF"/>
        </w:rPr>
        <w:t xml:space="preserve"> </w:t>
      </w:r>
      <w:r>
        <w:rPr>
          <w:rFonts w:ascii="Times New Roman" w:hAnsi="Times New Roman"/>
        </w:rPr>
        <w:t>(</w:t>
      </w:r>
      <w:r w:rsidRPr="00F34B0D">
        <w:rPr>
          <w:rFonts w:ascii="Arial" w:hAnsi="Arial" w:cs="Arial"/>
          <w:color w:val="000000"/>
        </w:rPr>
        <w:t>CPLR 3133</w:t>
      </w:r>
      <w:r>
        <w:rPr>
          <w:rFonts w:ascii="Arial" w:hAnsi="Arial" w:cs="Arial"/>
          <w:color w:val="000000"/>
        </w:rPr>
        <w:t>)</w:t>
      </w:r>
    </w:p>
    <w:p w14:paraId="60B4F8F6" w14:textId="77777777" w:rsidR="004247E1" w:rsidRDefault="004247E1" w:rsidP="004247E1">
      <w:pPr>
        <w:pStyle w:val="pxs"/>
        <w:ind w:firstLine="720"/>
        <w:rPr>
          <w:rFonts w:ascii="Arial" w:hAnsi="Arial" w:cs="Arial"/>
        </w:rPr>
      </w:pPr>
    </w:p>
    <w:p w14:paraId="338D7B7F" w14:textId="64E92ECA" w:rsidR="004247E1" w:rsidRDefault="004247E1" w:rsidP="004247E1">
      <w:pPr>
        <w:pStyle w:val="pxs"/>
        <w:ind w:firstLine="720"/>
        <w:rPr>
          <w:rFonts w:ascii="Arial" w:hAnsi="Arial" w:cs="Arial"/>
          <w:color w:val="000000"/>
          <w:shd w:val="clear" w:color="auto" w:fill="FFFFFF"/>
        </w:rPr>
      </w:pPr>
      <w:r w:rsidRPr="00E6309C">
        <w:rPr>
          <w:rFonts w:ascii="Arial" w:hAnsi="Arial" w:cs="Arial"/>
        </w:rPr>
        <w:t xml:space="preserve">In </w:t>
      </w:r>
      <w:r w:rsidRPr="00D84F8E">
        <w:rPr>
          <w:rStyle w:val="Heading1Char"/>
          <w:rFonts w:ascii="Arial" w:hAnsi="Arial" w:cs="Arial"/>
          <w:b w:val="0"/>
          <w:bCs w:val="0"/>
          <w:sz w:val="24"/>
          <w:szCs w:val="24"/>
        </w:rPr>
        <w:fldChar w:fldCharType="begin"/>
      </w:r>
      <w:r w:rsidRPr="00D84F8E">
        <w:rPr>
          <w:rStyle w:val="Heading1Char"/>
          <w:rFonts w:ascii="Arial" w:hAnsi="Arial" w:cs="Arial"/>
          <w:b w:val="0"/>
          <w:bCs w:val="0"/>
          <w:sz w:val="24"/>
          <w:szCs w:val="24"/>
        </w:rPr>
        <w:instrText>cc.ref.id="I07MS3K"</w:instrText>
      </w:r>
      <w:r w:rsidRPr="00D84F8E">
        <w:rPr>
          <w:rStyle w:val="Heading1Char"/>
          <w:rFonts w:ascii="Arial" w:hAnsi="Arial" w:cs="Arial"/>
          <w:b w:val="0"/>
          <w:bCs w:val="0"/>
          <w:sz w:val="24"/>
          <w:szCs w:val="24"/>
        </w:rPr>
        <w:fldChar w:fldCharType="end"/>
      </w:r>
      <w:r w:rsidRPr="00D84F8E">
        <w:rPr>
          <w:rStyle w:val="Heading1Char"/>
          <w:rFonts w:ascii="Arial" w:hAnsi="Arial" w:cs="Arial"/>
          <w:b w:val="0"/>
          <w:bCs w:val="0"/>
          <w:sz w:val="24"/>
          <w:szCs w:val="24"/>
        </w:rPr>
        <w:t>Snow v. Snow, 209 A.D.2d 399, 618 N.Y.S.2d 442 (2d Dep't 1994)</w:t>
      </w:r>
      <w:r w:rsidRPr="00E6309C">
        <w:rPr>
          <w:rFonts w:ascii="Arial" w:hAnsi="Arial" w:cs="Arial"/>
        </w:rPr>
        <w:t xml:space="preserve">, the Appellate Division </w:t>
      </w:r>
      <w:r>
        <w:rPr>
          <w:rFonts w:ascii="Arial" w:hAnsi="Arial" w:cs="Arial"/>
          <w:color w:val="000000"/>
          <w:shd w:val="clear" w:color="auto" w:fill="FFFFFF"/>
        </w:rPr>
        <w:t xml:space="preserve">held that a </w:t>
      </w:r>
      <w:r w:rsidRPr="00F83993">
        <w:rPr>
          <w:rFonts w:ascii="Arial" w:hAnsi="Arial" w:cs="Arial"/>
          <w:color w:val="000000"/>
          <w:shd w:val="clear" w:color="auto" w:fill="FFFFFF"/>
        </w:rPr>
        <w:t>spouse is entitled to discovery of assets up until the date of trial</w:t>
      </w:r>
      <w:r>
        <w:rPr>
          <w:rFonts w:ascii="Arial" w:hAnsi="Arial" w:cs="Arial"/>
          <w:color w:val="000000"/>
          <w:shd w:val="clear" w:color="auto" w:fill="FFFFFF"/>
        </w:rPr>
        <w:t xml:space="preserve"> </w:t>
      </w:r>
      <w:r w:rsidRPr="00260DA3">
        <w:rPr>
          <w:rFonts w:ascii="Arial" w:hAnsi="Arial" w:cs="Arial"/>
          <w:color w:val="000000"/>
        </w:rPr>
        <w:t xml:space="preserve">and required </w:t>
      </w:r>
      <w:r>
        <w:rPr>
          <w:rFonts w:ascii="Arial" w:hAnsi="Arial" w:cs="Arial"/>
          <w:color w:val="000000"/>
        </w:rPr>
        <w:t>the husband t</w:t>
      </w:r>
      <w:r w:rsidRPr="00260DA3">
        <w:rPr>
          <w:rFonts w:ascii="Arial" w:hAnsi="Arial" w:cs="Arial"/>
          <w:color w:val="000000"/>
        </w:rPr>
        <w:t>o</w:t>
      </w:r>
      <w:r>
        <w:rPr>
          <w:rFonts w:ascii="Arial" w:hAnsi="Arial" w:cs="Arial"/>
          <w:i/>
          <w:iCs/>
          <w:color w:val="000000"/>
        </w:rPr>
        <w:t xml:space="preserve"> </w:t>
      </w:r>
      <w:r>
        <w:rPr>
          <w:rFonts w:ascii="Arial" w:hAnsi="Arial" w:cs="Arial"/>
          <w:color w:val="000000"/>
          <w:shd w:val="clear" w:color="auto" w:fill="FFFFFF"/>
        </w:rPr>
        <w:t xml:space="preserve">provide updated financial information </w:t>
      </w:r>
      <w:r w:rsidRPr="00F83993">
        <w:rPr>
          <w:rFonts w:ascii="Arial" w:hAnsi="Arial" w:cs="Arial"/>
          <w:color w:val="000000"/>
          <w:shd w:val="clear" w:color="auto" w:fill="FFFFFF"/>
        </w:rPr>
        <w:t>through the present</w:t>
      </w:r>
      <w:r>
        <w:rPr>
          <w:rFonts w:ascii="Arial" w:hAnsi="Arial" w:cs="Arial"/>
          <w:color w:val="000000"/>
          <w:shd w:val="clear" w:color="auto" w:fill="FFFFFF"/>
        </w:rPr>
        <w:t xml:space="preserve">. The Court stressed </w:t>
      </w:r>
      <w:r w:rsidRPr="00F83993">
        <w:rPr>
          <w:rFonts w:ascii="Arial" w:hAnsi="Arial" w:cs="Arial"/>
          <w:color w:val="000000"/>
          <w:shd w:val="clear" w:color="auto" w:fill="FFFFFF"/>
        </w:rPr>
        <w:t xml:space="preserve">that the answer “N/A,” a common shorthand for the phrase “not applicable,” is not the equivalent of the answer “no” and is not an appropriate response to any of the questions listed. </w:t>
      </w:r>
    </w:p>
    <w:p w14:paraId="08C63BBC" w14:textId="77777777" w:rsidR="00274322" w:rsidRDefault="00274322" w:rsidP="00FC6F1E">
      <w:pPr>
        <w:pStyle w:val="pxs"/>
        <w:ind w:firstLine="720"/>
        <w:rPr>
          <w:rFonts w:ascii="Arial" w:hAnsi="Arial" w:cs="Arial"/>
          <w:color w:val="000000"/>
        </w:rPr>
      </w:pPr>
    </w:p>
    <w:p w14:paraId="35D369AC" w14:textId="6BE34475" w:rsidR="00FC6F1E" w:rsidRPr="00D84F8E" w:rsidRDefault="00FC6F1E" w:rsidP="00FC6F1E">
      <w:pPr>
        <w:pStyle w:val="pxs"/>
        <w:ind w:firstLine="720"/>
        <w:rPr>
          <w:rFonts w:ascii="Arial" w:hAnsi="Arial" w:cs="Arial"/>
          <w:b/>
          <w:bCs/>
        </w:rPr>
      </w:pPr>
      <w:r w:rsidRPr="00D84F8E">
        <w:rPr>
          <w:rFonts w:ascii="Arial" w:hAnsi="Arial" w:cs="Arial"/>
          <w:color w:val="000000"/>
        </w:rPr>
        <w:t>The party who serves the interrogatories may use the answers at trial. However, the answering party may not use his own answers at trial since they are considered to be self-serving</w:t>
      </w:r>
      <w:r w:rsidRPr="00D84F8E">
        <w:rPr>
          <w:rFonts w:ascii="Arial" w:hAnsi="Arial" w:cs="Arial"/>
          <w:b/>
          <w:bCs/>
          <w:color w:val="000000"/>
        </w:rPr>
        <w:t>.</w:t>
      </w:r>
      <w:r>
        <w:rPr>
          <w:rFonts w:ascii="Arial" w:hAnsi="Arial" w:cs="Arial"/>
          <w:b/>
          <w:bCs/>
          <w:color w:val="000000"/>
        </w:rPr>
        <w:t xml:space="preserve"> </w:t>
      </w:r>
      <w:r w:rsidRPr="00D84F8E">
        <w:rPr>
          <w:rFonts w:ascii="Arial" w:hAnsi="Arial" w:cs="Arial"/>
          <w:b/>
          <w:bCs/>
          <w:color w:val="000000"/>
        </w:rPr>
        <w:t>(</w:t>
      </w:r>
      <w:r w:rsidRPr="00D84F8E">
        <w:rPr>
          <w:rStyle w:val="Heading1Char"/>
          <w:rFonts w:ascii="Arial" w:hAnsi="Arial" w:cs="Arial"/>
          <w:b w:val="0"/>
          <w:bCs w:val="0"/>
          <w:sz w:val="24"/>
          <w:szCs w:val="24"/>
        </w:rPr>
        <w:fldChar w:fldCharType="begin"/>
      </w:r>
      <w:r w:rsidRPr="00D84F8E">
        <w:rPr>
          <w:rStyle w:val="Heading1Char"/>
          <w:rFonts w:ascii="Arial" w:hAnsi="Arial" w:cs="Arial"/>
          <w:b w:val="0"/>
          <w:bCs w:val="0"/>
          <w:sz w:val="24"/>
          <w:szCs w:val="24"/>
        </w:rPr>
        <w:instrText>cc.ref.id="I06KNL3"</w:instrText>
      </w:r>
      <w:r w:rsidRPr="00D84F8E">
        <w:rPr>
          <w:rStyle w:val="Heading1Char"/>
          <w:rFonts w:ascii="Arial" w:hAnsi="Arial" w:cs="Arial"/>
          <w:b w:val="0"/>
          <w:bCs w:val="0"/>
          <w:sz w:val="24"/>
          <w:szCs w:val="24"/>
        </w:rPr>
        <w:fldChar w:fldCharType="end"/>
      </w:r>
      <w:r w:rsidRPr="00D84F8E">
        <w:rPr>
          <w:rStyle w:val="Heading1Char"/>
          <w:rFonts w:ascii="Arial" w:hAnsi="Arial" w:cs="Arial"/>
          <w:b w:val="0"/>
          <w:bCs w:val="0"/>
          <w:sz w:val="24"/>
          <w:szCs w:val="24"/>
        </w:rPr>
        <w:t>United Bank Ltd. v. Cambridge Sporting Goods Corp., 41 N.Y.2d 254, 392 N.Y.S.2d 265 (1976))</w:t>
      </w:r>
      <w:r w:rsidRPr="00D84F8E">
        <w:rPr>
          <w:rFonts w:ascii="Arial" w:hAnsi="Arial" w:cs="Arial"/>
          <w:b/>
          <w:bCs/>
        </w:rPr>
        <w:t>.</w:t>
      </w:r>
    </w:p>
    <w:p w14:paraId="29A7D1E7" w14:textId="77777777" w:rsidR="00E6309C" w:rsidRPr="00830B53" w:rsidRDefault="00E6309C" w:rsidP="00E6309C">
      <w:pPr>
        <w:pStyle w:val="pxs"/>
        <w:rPr>
          <w:rFonts w:ascii="Arial" w:hAnsi="Arial" w:cs="Arial"/>
          <w:color w:val="000000"/>
        </w:rPr>
      </w:pPr>
    </w:p>
    <w:p w14:paraId="262C565F" w14:textId="62672A8E" w:rsidR="00E6309C" w:rsidRPr="00830B53" w:rsidRDefault="00E6309C" w:rsidP="00E6309C">
      <w:pPr>
        <w:pStyle w:val="pxs"/>
        <w:rPr>
          <w:rFonts w:ascii="Arial" w:hAnsi="Arial" w:cs="Arial"/>
          <w:color w:val="000000"/>
        </w:rPr>
      </w:pPr>
      <w:r w:rsidRPr="00830B53">
        <w:rPr>
          <w:rFonts w:ascii="Arial" w:hAnsi="Arial" w:cs="Arial"/>
          <w:color w:val="000000"/>
        </w:rPr>
        <w:t xml:space="preserve"> </w:t>
      </w:r>
      <w:r w:rsidRPr="00830B53">
        <w:rPr>
          <w:rStyle w:val="pxntc"/>
          <w:rFonts w:ascii="Arial" w:hAnsi="Arial" w:cs="Arial"/>
          <w:color w:val="000000"/>
        </w:rPr>
        <w:tab/>
      </w:r>
      <w:r w:rsidRPr="00830B53">
        <w:rPr>
          <w:rFonts w:ascii="Arial" w:hAnsi="Arial" w:cs="Arial"/>
          <w:color w:val="000000"/>
        </w:rPr>
        <w:t xml:space="preserve">Interrogatories may only be served, as of right, upon a party to the action.  </w:t>
      </w:r>
      <w:r w:rsidRPr="00830B53">
        <w:rPr>
          <w:rStyle w:val="pxpl"/>
          <w:rFonts w:ascii="Arial" w:eastAsiaTheme="majorEastAsia" w:hAnsi="Arial" w:cs="Arial"/>
        </w:rPr>
        <w:t xml:space="preserve"> </w:t>
      </w:r>
      <w:r w:rsidR="00D84F8E">
        <w:rPr>
          <w:rStyle w:val="pxpl"/>
          <w:rFonts w:ascii="Arial" w:eastAsiaTheme="majorEastAsia" w:hAnsi="Arial" w:cs="Arial"/>
        </w:rPr>
        <w:t>(</w:t>
      </w:r>
      <w:r w:rsidRPr="00830B53">
        <w:rPr>
          <w:rStyle w:val="pxpl"/>
          <w:rFonts w:ascii="Arial" w:eastAsiaTheme="majorEastAsia" w:hAnsi="Arial" w:cs="Arial"/>
        </w:rPr>
        <w:fldChar w:fldCharType="begin"/>
      </w:r>
      <w:r w:rsidRPr="00830B53">
        <w:rPr>
          <w:rStyle w:val="pxpl"/>
          <w:rFonts w:ascii="Arial" w:eastAsiaTheme="majorEastAsia" w:hAnsi="Arial" w:cs="Arial"/>
        </w:rPr>
        <w:instrText>st.ref.id="I07JYXI"</w:instrText>
      </w:r>
      <w:r w:rsidRPr="00830B53">
        <w:rPr>
          <w:rStyle w:val="pxpl"/>
          <w:rFonts w:ascii="Arial" w:eastAsiaTheme="majorEastAsia" w:hAnsi="Arial" w:cs="Arial"/>
        </w:rPr>
        <w:fldChar w:fldCharType="end"/>
      </w:r>
      <w:r w:rsidRPr="00830B53">
        <w:rPr>
          <w:rStyle w:val="pxpl"/>
          <w:rFonts w:ascii="Arial" w:eastAsiaTheme="majorEastAsia" w:hAnsi="Arial" w:cs="Arial"/>
        </w:rPr>
        <w:t>CPLR 3130(1)</w:t>
      </w:r>
      <w:r w:rsidR="00D84F8E">
        <w:rPr>
          <w:rStyle w:val="pxpl"/>
          <w:rFonts w:ascii="Arial" w:eastAsiaTheme="majorEastAsia" w:hAnsi="Arial" w:cs="Arial"/>
        </w:rPr>
        <w:t>)</w:t>
      </w:r>
      <w:r w:rsidRPr="00830B53">
        <w:rPr>
          <w:rFonts w:ascii="Arial" w:hAnsi="Arial" w:cs="Arial"/>
        </w:rPr>
        <w:t xml:space="preserve">. </w:t>
      </w:r>
      <w:r w:rsidRPr="00830B53">
        <w:rPr>
          <w:rStyle w:val="pxpl"/>
          <w:rFonts w:ascii="Arial" w:eastAsiaTheme="majorEastAsia" w:hAnsi="Arial" w:cs="Arial"/>
        </w:rPr>
        <w:fldChar w:fldCharType="begin"/>
      </w:r>
      <w:r w:rsidRPr="00830B53">
        <w:rPr>
          <w:rStyle w:val="pxpl"/>
          <w:rFonts w:ascii="Arial" w:eastAsiaTheme="majorEastAsia" w:hAnsi="Arial" w:cs="Arial"/>
        </w:rPr>
        <w:instrText>st.ref.id="I07H5SM"</w:instrText>
      </w:r>
      <w:r w:rsidRPr="00830B53">
        <w:rPr>
          <w:rStyle w:val="pxpl"/>
          <w:rFonts w:ascii="Arial" w:eastAsiaTheme="majorEastAsia" w:hAnsi="Arial" w:cs="Arial"/>
        </w:rPr>
        <w:fldChar w:fldCharType="end"/>
      </w:r>
      <w:r w:rsidRPr="00830B53">
        <w:rPr>
          <w:rStyle w:val="pxpl"/>
          <w:rFonts w:ascii="Arial" w:eastAsiaTheme="majorEastAsia" w:hAnsi="Arial" w:cs="Arial"/>
        </w:rPr>
        <w:t xml:space="preserve">However, </w:t>
      </w:r>
      <w:r w:rsidR="00631F94">
        <w:rPr>
          <w:rStyle w:val="pxpl"/>
          <w:rFonts w:ascii="Arial" w:eastAsiaTheme="majorEastAsia" w:hAnsi="Arial" w:cs="Arial"/>
          <w:color w:val="000000"/>
        </w:rPr>
        <w:t>CP</w:t>
      </w:r>
      <w:r w:rsidRPr="00830B53">
        <w:rPr>
          <w:rStyle w:val="pxpl"/>
          <w:rFonts w:ascii="Arial" w:eastAsiaTheme="majorEastAsia" w:hAnsi="Arial" w:cs="Arial"/>
          <w:color w:val="000000"/>
        </w:rPr>
        <w:t>LR 3130(2)</w:t>
      </w:r>
      <w:r w:rsidRPr="00830B53">
        <w:rPr>
          <w:rFonts w:ascii="Arial" w:hAnsi="Arial" w:cs="Arial"/>
          <w:color w:val="000000"/>
        </w:rPr>
        <w:t xml:space="preserve"> which </w:t>
      </w:r>
      <w:r w:rsidR="00A276E4">
        <w:rPr>
          <w:rFonts w:ascii="Arial" w:hAnsi="Arial" w:cs="Arial"/>
          <w:color w:val="000000"/>
        </w:rPr>
        <w:t>applies</w:t>
      </w:r>
      <w:r w:rsidRPr="00830B53">
        <w:rPr>
          <w:rFonts w:ascii="Arial" w:hAnsi="Arial" w:cs="Arial"/>
          <w:color w:val="000000"/>
        </w:rPr>
        <w:t xml:space="preserve"> only to matrimonial actions authorizes the court to make an order, upon motion, directing a nonparty witness to answer written interrogatories. The interrogatories that may be propounded are limited to </w:t>
      </w:r>
      <w:r w:rsidRPr="00830B53">
        <w:rPr>
          <w:rFonts w:ascii="Arial" w:hAnsi="Arial" w:cs="Arial"/>
          <w:vanish/>
          <w:color w:val="000000"/>
        </w:rPr>
        <w:t>&amp;ldquo;</w:t>
      </w:r>
      <w:r w:rsidRPr="00830B53">
        <w:rPr>
          <w:rStyle w:val="pxntc"/>
          <w:rFonts w:ascii="Arial" w:hAnsi="Arial" w:cs="Arial"/>
          <w:color w:val="000000"/>
        </w:rPr>
        <w:t>“</w:t>
      </w:r>
      <w:r w:rsidRPr="00830B53">
        <w:rPr>
          <w:rFonts w:ascii="Arial" w:hAnsi="Arial" w:cs="Arial"/>
          <w:color w:val="000000"/>
        </w:rPr>
        <w:t>furnishing financial information as to a party.</w:t>
      </w:r>
      <w:r w:rsidRPr="00830B53">
        <w:rPr>
          <w:rFonts w:ascii="Arial" w:hAnsi="Arial" w:cs="Arial"/>
          <w:vanish/>
          <w:color w:val="000000"/>
        </w:rPr>
        <w:t>&amp;rdquo;</w:t>
      </w:r>
      <w:r w:rsidRPr="00830B53">
        <w:rPr>
          <w:rStyle w:val="pxntc"/>
          <w:rFonts w:ascii="Arial" w:hAnsi="Arial" w:cs="Arial"/>
          <w:color w:val="000000"/>
        </w:rPr>
        <w:t>”</w:t>
      </w:r>
      <w:r w:rsidRPr="00830B53">
        <w:rPr>
          <w:rFonts w:ascii="Arial" w:hAnsi="Arial" w:cs="Arial"/>
          <w:color w:val="000000"/>
        </w:rPr>
        <w:t xml:space="preserve"> The motion must be brought on by order to show cause, and notice of the motion must be given to the other party and the nonparty in such </w:t>
      </w:r>
      <w:r w:rsidR="00A276E4">
        <w:rPr>
          <w:rFonts w:ascii="Arial" w:hAnsi="Arial" w:cs="Arial"/>
          <w:color w:val="000000"/>
        </w:rPr>
        <w:t xml:space="preserve">a </w:t>
      </w:r>
      <w:r w:rsidRPr="00830B53">
        <w:rPr>
          <w:rFonts w:ascii="Arial" w:hAnsi="Arial" w:cs="Arial"/>
          <w:color w:val="000000"/>
        </w:rPr>
        <w:t xml:space="preserve">manner as the court directs. </w:t>
      </w:r>
    </w:p>
    <w:p w14:paraId="4D48684E" w14:textId="77777777" w:rsidR="00D84F8E" w:rsidRDefault="00D84F8E" w:rsidP="00830B53">
      <w:pPr>
        <w:pStyle w:val="pxs"/>
        <w:rPr>
          <w:rFonts w:ascii="Arial" w:hAnsi="Arial" w:cs="Arial"/>
          <w:color w:val="000000"/>
        </w:rPr>
      </w:pPr>
    </w:p>
    <w:p w14:paraId="3DADD03D" w14:textId="73E552A4" w:rsidR="00830B53" w:rsidRPr="00830B53" w:rsidRDefault="002D14B1" w:rsidP="00830B53">
      <w:pPr>
        <w:pStyle w:val="pxs"/>
        <w:rPr>
          <w:rFonts w:ascii="Arial" w:hAnsi="Arial" w:cs="Arial"/>
        </w:rPr>
      </w:pPr>
      <w:r w:rsidRPr="00830B53">
        <w:rPr>
          <w:rFonts w:ascii="Arial" w:hAnsi="Arial" w:cs="Arial"/>
          <w:color w:val="000000"/>
        </w:rPr>
        <w:t xml:space="preserve"> </w:t>
      </w:r>
      <w:r w:rsidRPr="00830B53">
        <w:rPr>
          <w:rStyle w:val="pxntc"/>
          <w:rFonts w:ascii="Arial" w:hAnsi="Arial" w:cs="Arial"/>
          <w:color w:val="000000"/>
        </w:rPr>
        <w:tab/>
      </w:r>
      <w:r w:rsidRPr="00830B53">
        <w:rPr>
          <w:rFonts w:ascii="Arial" w:hAnsi="Arial" w:cs="Arial"/>
          <w:color w:val="000000"/>
        </w:rPr>
        <w:t xml:space="preserve">A party simply serves the written interrogatories upon the adverse party. The </w:t>
      </w:r>
      <w:r w:rsidRPr="00830B53">
        <w:rPr>
          <w:rFonts w:ascii="Arial" w:hAnsi="Arial" w:cs="Arial"/>
          <w:color w:val="000000"/>
        </w:rPr>
        <w:lastRenderedPageBreak/>
        <w:t>plaintiff must obtain leave of the court, with or without notice, if he serves written interrogatories before the defendant's time to serve a responsive pleading has expired. Therefore, the defendant has priority of examination.</w:t>
      </w:r>
      <w:r w:rsidR="00830B53" w:rsidRPr="00830B53">
        <w:rPr>
          <w:rStyle w:val="pxpl"/>
          <w:rFonts w:ascii="Arial" w:eastAsiaTheme="majorEastAsia" w:hAnsi="Arial" w:cs="Arial"/>
        </w:rPr>
        <w:t xml:space="preserve"> </w:t>
      </w:r>
      <w:r w:rsidR="003A0EEB">
        <w:rPr>
          <w:rStyle w:val="pxpl"/>
          <w:rFonts w:ascii="Arial" w:eastAsiaTheme="majorEastAsia" w:hAnsi="Arial" w:cs="Arial"/>
        </w:rPr>
        <w:t>(</w:t>
      </w:r>
      <w:r w:rsidR="00830B53" w:rsidRPr="00830B53">
        <w:rPr>
          <w:rStyle w:val="pxpl"/>
          <w:rFonts w:ascii="Arial" w:eastAsiaTheme="majorEastAsia" w:hAnsi="Arial" w:cs="Arial"/>
        </w:rPr>
        <w:fldChar w:fldCharType="begin"/>
      </w:r>
      <w:r w:rsidR="00830B53" w:rsidRPr="00830B53">
        <w:rPr>
          <w:rStyle w:val="pxpl"/>
          <w:rFonts w:ascii="Arial" w:eastAsiaTheme="majorEastAsia" w:hAnsi="Arial" w:cs="Arial"/>
        </w:rPr>
        <w:instrText>st.ref.id="I06NGQ1"</w:instrText>
      </w:r>
      <w:r w:rsidR="00830B53" w:rsidRPr="00830B53">
        <w:rPr>
          <w:rStyle w:val="pxpl"/>
          <w:rFonts w:ascii="Arial" w:eastAsiaTheme="majorEastAsia" w:hAnsi="Arial" w:cs="Arial"/>
        </w:rPr>
        <w:fldChar w:fldCharType="end"/>
      </w:r>
      <w:r w:rsidR="00830B53" w:rsidRPr="00830B53">
        <w:rPr>
          <w:rStyle w:val="pxpl"/>
          <w:rFonts w:ascii="Arial" w:eastAsiaTheme="majorEastAsia" w:hAnsi="Arial" w:cs="Arial"/>
        </w:rPr>
        <w:t>CPLR 3132</w:t>
      </w:r>
      <w:r w:rsidR="003A0EEB">
        <w:rPr>
          <w:rFonts w:ascii="Arial" w:hAnsi="Arial" w:cs="Arial"/>
        </w:rPr>
        <w:t>)</w:t>
      </w:r>
    </w:p>
    <w:p w14:paraId="5CCC1B55" w14:textId="77777777" w:rsidR="002D14B1" w:rsidRPr="00830B53" w:rsidRDefault="002D14B1" w:rsidP="002D14B1">
      <w:pPr>
        <w:rPr>
          <w:rFonts w:ascii="Arial" w:hAnsi="Arial" w:cs="Arial"/>
        </w:rPr>
      </w:pPr>
    </w:p>
    <w:p w14:paraId="1D94B989" w14:textId="0E3A2CEB" w:rsidR="00830B53" w:rsidRDefault="002D14B1" w:rsidP="00830B53">
      <w:pPr>
        <w:pStyle w:val="pxs"/>
        <w:rPr>
          <w:rFonts w:ascii="Arial" w:hAnsi="Arial" w:cs="Arial"/>
        </w:rPr>
      </w:pPr>
      <w:r w:rsidRPr="00830B53">
        <w:rPr>
          <w:rFonts w:ascii="Arial" w:hAnsi="Arial" w:cs="Arial"/>
          <w:color w:val="000000"/>
        </w:rPr>
        <w:t xml:space="preserve"> </w:t>
      </w:r>
      <w:r w:rsidRPr="00830B53">
        <w:rPr>
          <w:rStyle w:val="pxntc"/>
          <w:rFonts w:ascii="Arial" w:hAnsi="Arial" w:cs="Arial"/>
          <w:color w:val="000000"/>
        </w:rPr>
        <w:tab/>
      </w:r>
      <w:r w:rsidRPr="00830B53">
        <w:rPr>
          <w:rFonts w:ascii="Arial" w:hAnsi="Arial" w:cs="Arial"/>
          <w:color w:val="000000"/>
        </w:rPr>
        <w:t xml:space="preserve">Service of the answers to each interrogatory must be made within twenty days after service of the interrogatories, except one to which the party objects, in which event the reasons for the objection must be stated with </w:t>
      </w:r>
      <w:r w:rsidRPr="00830B53">
        <w:rPr>
          <w:rFonts w:ascii="Arial" w:hAnsi="Arial" w:cs="Arial"/>
          <w:vanish/>
          <w:color w:val="000000"/>
        </w:rPr>
        <w:t>“</w:t>
      </w:r>
      <w:r w:rsidRPr="00830B53">
        <w:rPr>
          <w:rStyle w:val="pxntc"/>
          <w:rFonts w:ascii="Arial" w:hAnsi="Arial" w:cs="Arial"/>
          <w:color w:val="000000"/>
        </w:rPr>
        <w:t>“</w:t>
      </w:r>
      <w:r w:rsidRPr="00830B53">
        <w:rPr>
          <w:rFonts w:ascii="Arial" w:hAnsi="Arial" w:cs="Arial"/>
          <w:color w:val="000000"/>
        </w:rPr>
        <w:t>reasonable particularity.</w:t>
      </w:r>
      <w:r w:rsidRPr="00830B53">
        <w:rPr>
          <w:rFonts w:ascii="Arial" w:hAnsi="Arial" w:cs="Arial"/>
          <w:vanish/>
          <w:color w:val="000000"/>
        </w:rPr>
        <w:t>”</w:t>
      </w:r>
      <w:r w:rsidRPr="00830B53">
        <w:rPr>
          <w:rStyle w:val="pxntc"/>
          <w:rFonts w:ascii="Arial" w:hAnsi="Arial" w:cs="Arial"/>
          <w:color w:val="000000"/>
        </w:rPr>
        <w:t>”</w:t>
      </w:r>
      <w:r w:rsidR="00830B53" w:rsidRPr="00830B53">
        <w:rPr>
          <w:rStyle w:val="pxpl"/>
          <w:rFonts w:ascii="Arial" w:eastAsiaTheme="majorEastAsia" w:hAnsi="Arial" w:cs="Arial"/>
        </w:rPr>
        <w:t xml:space="preserve"> </w:t>
      </w:r>
      <w:r w:rsidR="00240A06">
        <w:rPr>
          <w:rStyle w:val="pxpl"/>
          <w:rFonts w:ascii="Arial" w:eastAsiaTheme="majorEastAsia" w:hAnsi="Arial" w:cs="Arial"/>
        </w:rPr>
        <w:t>(</w:t>
      </w:r>
      <w:r w:rsidR="00830B53" w:rsidRPr="00830B53">
        <w:rPr>
          <w:rStyle w:val="pxpl"/>
          <w:rFonts w:ascii="Arial" w:eastAsiaTheme="majorEastAsia" w:hAnsi="Arial" w:cs="Arial"/>
        </w:rPr>
        <w:fldChar w:fldCharType="begin"/>
      </w:r>
      <w:r w:rsidR="00830B53" w:rsidRPr="00830B53">
        <w:rPr>
          <w:rStyle w:val="pxpl"/>
          <w:rFonts w:ascii="Arial" w:eastAsiaTheme="majorEastAsia" w:hAnsi="Arial" w:cs="Arial"/>
        </w:rPr>
        <w:instrText>st.ref.id="I06Q9UV"</w:instrText>
      </w:r>
      <w:r w:rsidR="00830B53" w:rsidRPr="00830B53">
        <w:rPr>
          <w:rStyle w:val="pxpl"/>
          <w:rFonts w:ascii="Arial" w:eastAsiaTheme="majorEastAsia" w:hAnsi="Arial" w:cs="Arial"/>
        </w:rPr>
        <w:fldChar w:fldCharType="end"/>
      </w:r>
      <w:r w:rsidR="00830B53" w:rsidRPr="00830B53">
        <w:rPr>
          <w:rStyle w:val="pxpl"/>
          <w:rFonts w:ascii="Arial" w:eastAsiaTheme="majorEastAsia" w:hAnsi="Arial" w:cs="Arial"/>
        </w:rPr>
        <w:t>CPLR 3133(a</w:t>
      </w:r>
      <w:r w:rsidR="00240A06">
        <w:rPr>
          <w:rStyle w:val="pxpl"/>
          <w:rFonts w:ascii="Arial" w:eastAsiaTheme="majorEastAsia" w:hAnsi="Arial" w:cs="Arial"/>
        </w:rPr>
        <w:t>)</w:t>
      </w:r>
      <w:r w:rsidR="00830B53" w:rsidRPr="00830B53">
        <w:rPr>
          <w:rStyle w:val="pxpl"/>
          <w:rFonts w:ascii="Arial" w:eastAsiaTheme="majorEastAsia" w:hAnsi="Arial" w:cs="Arial"/>
        </w:rPr>
        <w:t>)</w:t>
      </w:r>
      <w:r w:rsidR="00830B53" w:rsidRPr="00830B53">
        <w:rPr>
          <w:rFonts w:ascii="Arial" w:hAnsi="Arial" w:cs="Arial"/>
        </w:rPr>
        <w:t>.</w:t>
      </w:r>
    </w:p>
    <w:p w14:paraId="7930CBE1" w14:textId="77777777" w:rsidR="00EE0D2A" w:rsidRPr="00EE0D2A" w:rsidRDefault="00EE0D2A" w:rsidP="00EE0D2A"/>
    <w:p w14:paraId="69AE5B85" w14:textId="421F71CC" w:rsidR="00C54F6B" w:rsidRDefault="00EE0D2A" w:rsidP="00C54F6B">
      <w:pPr>
        <w:widowControl/>
        <w:autoSpaceDE/>
        <w:autoSpaceDN/>
        <w:adjustRightInd/>
        <w:rPr>
          <w:rFonts w:ascii="Arial" w:hAnsi="Arial" w:cs="Arial"/>
          <w:color w:val="000000"/>
          <w:shd w:val="clear" w:color="auto" w:fill="FFFFFF"/>
        </w:rPr>
      </w:pPr>
      <w:r w:rsidRPr="00830B53">
        <w:rPr>
          <w:rStyle w:val="pxntc"/>
          <w:rFonts w:ascii="Arial" w:hAnsi="Arial" w:cs="Arial"/>
          <w:color w:val="000000"/>
        </w:rPr>
        <w:tab/>
      </w:r>
      <w:r>
        <w:rPr>
          <w:rStyle w:val="pxntc"/>
          <w:rFonts w:ascii="Arial" w:hAnsi="Arial" w:cs="Arial"/>
          <w:color w:val="000000"/>
        </w:rPr>
        <w:t xml:space="preserve">There is a continuing obligation to update answers to interrogatories. </w:t>
      </w:r>
      <w:r w:rsidRPr="00830B53">
        <w:rPr>
          <w:rFonts w:ascii="Arial" w:hAnsi="Arial" w:cs="Arial"/>
          <w:color w:val="000000"/>
        </w:rPr>
        <w:t xml:space="preserve">A party must amend or supplement a response previously given to a request for disclosure promptly upon the party's thereafter obtaining information that the response was incorrect or incomplete when made, or that the response, though correct and complete when made, no longer is correct and complete, and the circumstances are such that a failure to amend or supplement the response would be materially misleading. </w:t>
      </w:r>
      <w:r>
        <w:rPr>
          <w:rStyle w:val="pxpl"/>
          <w:rFonts w:ascii="Arial" w:eastAsiaTheme="majorEastAsia" w:hAnsi="Arial" w:cs="Arial"/>
        </w:rPr>
        <w:t>(</w:t>
      </w:r>
      <w:r w:rsidRPr="00830B53">
        <w:rPr>
          <w:rStyle w:val="pxpl"/>
          <w:rFonts w:ascii="Arial" w:eastAsiaTheme="majorEastAsia" w:hAnsi="Arial" w:cs="Arial"/>
        </w:rPr>
        <w:fldChar w:fldCharType="begin"/>
      </w:r>
      <w:r w:rsidRPr="00830B53">
        <w:rPr>
          <w:rStyle w:val="pxpl"/>
          <w:rFonts w:ascii="Arial" w:eastAsiaTheme="majorEastAsia" w:hAnsi="Arial" w:cs="Arial"/>
        </w:rPr>
        <w:instrText>st.ref.id="I06NGPZ"</w:instrText>
      </w:r>
      <w:r w:rsidRPr="00830B53">
        <w:rPr>
          <w:rStyle w:val="pxpl"/>
          <w:rFonts w:ascii="Arial" w:eastAsiaTheme="majorEastAsia" w:hAnsi="Arial" w:cs="Arial"/>
        </w:rPr>
        <w:fldChar w:fldCharType="end"/>
      </w:r>
      <w:r w:rsidRPr="00830B53">
        <w:rPr>
          <w:rStyle w:val="pxpl"/>
          <w:rFonts w:ascii="Arial" w:eastAsiaTheme="majorEastAsia" w:hAnsi="Arial" w:cs="Arial"/>
        </w:rPr>
        <w:t>CPLR 3133(c)</w:t>
      </w:r>
      <w:r>
        <w:rPr>
          <w:rStyle w:val="pxpl"/>
          <w:rFonts w:ascii="Arial" w:eastAsiaTheme="majorEastAsia" w:hAnsi="Arial" w:cs="Arial"/>
        </w:rPr>
        <w:t>)</w:t>
      </w:r>
      <w:r w:rsidRPr="00830B53">
        <w:rPr>
          <w:rFonts w:ascii="Arial" w:hAnsi="Arial" w:cs="Arial"/>
        </w:rPr>
        <w:t>.</w:t>
      </w:r>
    </w:p>
    <w:p w14:paraId="0B2048AC" w14:textId="77777777" w:rsidR="00EE0D2A" w:rsidRDefault="00EE0D2A" w:rsidP="00C54F6B">
      <w:pPr>
        <w:widowControl/>
        <w:autoSpaceDE/>
        <w:autoSpaceDN/>
        <w:adjustRightInd/>
        <w:ind w:firstLine="720"/>
        <w:rPr>
          <w:rFonts w:ascii="Arial" w:hAnsi="Arial" w:cs="Arial"/>
          <w:color w:val="000000"/>
          <w:shd w:val="clear" w:color="auto" w:fill="FFFFFF"/>
        </w:rPr>
      </w:pPr>
    </w:p>
    <w:p w14:paraId="1B5FB4C9" w14:textId="2D182C35" w:rsidR="00A04FEA" w:rsidRPr="006F500A" w:rsidRDefault="002D14B1" w:rsidP="003A0EEB">
      <w:pPr>
        <w:pStyle w:val="pxs"/>
        <w:rPr>
          <w:rFonts w:ascii="Times New Roman" w:hAnsi="Times New Roman"/>
          <w:color w:val="000000"/>
        </w:rPr>
      </w:pPr>
      <w:r w:rsidRPr="00830B53">
        <w:rPr>
          <w:rFonts w:ascii="Arial" w:hAnsi="Arial" w:cs="Arial"/>
          <w:color w:val="000000"/>
        </w:rPr>
        <w:t xml:space="preserve"> </w:t>
      </w:r>
      <w:r w:rsidRPr="00830B53">
        <w:rPr>
          <w:rStyle w:val="pxntc"/>
          <w:rFonts w:ascii="Arial" w:hAnsi="Arial" w:cs="Arial"/>
          <w:color w:val="000000"/>
        </w:rPr>
        <w:tab/>
      </w:r>
      <w:r w:rsidRPr="006F500A">
        <w:rPr>
          <w:rFonts w:ascii="Arial" w:hAnsi="Arial" w:cs="Arial"/>
          <w:color w:val="000000"/>
        </w:rPr>
        <w:t xml:space="preserve">There is no obligation on the part of the recipient of the interrogatories to make a motion to strike any interrogatory. </w:t>
      </w:r>
      <w:r w:rsidR="003A0EEB" w:rsidRPr="006F500A">
        <w:rPr>
          <w:rFonts w:ascii="Arial" w:hAnsi="Arial" w:cs="Arial"/>
          <w:color w:val="000000"/>
        </w:rPr>
        <w:t>T</w:t>
      </w:r>
      <w:r w:rsidRPr="006F500A">
        <w:rPr>
          <w:rFonts w:ascii="Arial" w:hAnsi="Arial" w:cs="Arial"/>
          <w:color w:val="000000"/>
        </w:rPr>
        <w:t>he burden to compel compliance is on the party serving the interrogatories.</w:t>
      </w:r>
      <w:r w:rsidR="005C6328" w:rsidRPr="006F500A">
        <w:rPr>
          <w:rFonts w:ascii="Arial" w:hAnsi="Arial" w:cs="Arial"/>
          <w:color w:val="000000"/>
        </w:rPr>
        <w:t xml:space="preserve"> Where a person fails to respond to or comply with an interrogatory or document demand, the remedy for the party seeking disclosure is to move to compel compliance or a response.</w:t>
      </w:r>
      <w:r w:rsidR="005C6328" w:rsidRPr="006F500A">
        <w:rPr>
          <w:rStyle w:val="pxpl"/>
          <w:rFonts w:ascii="Arial" w:eastAsiaTheme="majorEastAsia" w:hAnsi="Arial" w:cs="Arial"/>
        </w:rPr>
        <w:t xml:space="preserve"> </w:t>
      </w:r>
      <w:r w:rsidR="00D84F8E" w:rsidRPr="006F500A">
        <w:rPr>
          <w:rStyle w:val="pxpl"/>
          <w:rFonts w:ascii="Arial" w:eastAsiaTheme="majorEastAsia" w:hAnsi="Arial" w:cs="Arial"/>
        </w:rPr>
        <w:t>(</w:t>
      </w:r>
      <w:r w:rsidR="005C6328" w:rsidRPr="006F500A">
        <w:rPr>
          <w:rStyle w:val="pxpl"/>
          <w:rFonts w:ascii="Arial" w:eastAsiaTheme="majorEastAsia" w:hAnsi="Arial" w:cs="Arial"/>
        </w:rPr>
        <w:fldChar w:fldCharType="begin"/>
      </w:r>
      <w:r w:rsidR="005C6328" w:rsidRPr="006F500A">
        <w:rPr>
          <w:rStyle w:val="pxpl"/>
          <w:rFonts w:ascii="Arial" w:eastAsiaTheme="majorEastAsia" w:hAnsi="Arial" w:cs="Arial"/>
        </w:rPr>
        <w:instrText>st.ref.id="I06NGIU"</w:instrText>
      </w:r>
      <w:r w:rsidR="005C6328" w:rsidRPr="006F500A">
        <w:rPr>
          <w:rStyle w:val="pxpl"/>
          <w:rFonts w:ascii="Arial" w:eastAsiaTheme="majorEastAsia" w:hAnsi="Arial" w:cs="Arial"/>
        </w:rPr>
        <w:fldChar w:fldCharType="end"/>
      </w:r>
      <w:r w:rsidR="005C6328" w:rsidRPr="006F500A">
        <w:rPr>
          <w:rStyle w:val="pxpl"/>
          <w:rFonts w:ascii="Arial" w:eastAsiaTheme="majorEastAsia" w:hAnsi="Arial" w:cs="Arial"/>
        </w:rPr>
        <w:t>CPLR 3124</w:t>
      </w:r>
      <w:r w:rsidR="00D84F8E" w:rsidRPr="006F500A">
        <w:rPr>
          <w:rStyle w:val="pxpl"/>
          <w:rFonts w:ascii="Arial" w:eastAsiaTheme="majorEastAsia" w:hAnsi="Arial" w:cs="Arial"/>
        </w:rPr>
        <w:t>).</w:t>
      </w:r>
    </w:p>
    <w:p w14:paraId="2C96583E" w14:textId="41A73260" w:rsidR="005C6328" w:rsidRPr="00830B53" w:rsidRDefault="005C6328" w:rsidP="005C6328">
      <w:pPr>
        <w:pStyle w:val="pxs"/>
        <w:rPr>
          <w:rFonts w:ascii="Arial" w:hAnsi="Arial" w:cs="Arial"/>
        </w:rPr>
      </w:pPr>
    </w:p>
    <w:p w14:paraId="041A58E0" w14:textId="46554F72" w:rsidR="00F44597" w:rsidRPr="00902AEF" w:rsidRDefault="00E6309C" w:rsidP="00F44597">
      <w:pPr>
        <w:pStyle w:val="pxs"/>
        <w:ind w:firstLine="720"/>
        <w:rPr>
          <w:rFonts w:ascii="Arial" w:hAnsi="Arial" w:cs="Arial"/>
        </w:rPr>
      </w:pPr>
      <w:r w:rsidRPr="00E6309C">
        <w:rPr>
          <w:rFonts w:ascii="Arial" w:hAnsi="Arial" w:cs="Arial"/>
          <w:color w:val="000000"/>
        </w:rPr>
        <w:t xml:space="preserve"> </w:t>
      </w:r>
      <w:r w:rsidR="00F44597">
        <w:rPr>
          <w:rStyle w:val="pxpl"/>
          <w:rFonts w:ascii="Arial" w:eastAsiaTheme="majorEastAsia" w:hAnsi="Arial" w:cs="Arial"/>
          <w:color w:val="000000"/>
        </w:rPr>
        <w:t>I</w:t>
      </w:r>
      <w:r w:rsidR="00F44597" w:rsidRPr="00E6309C">
        <w:rPr>
          <w:rStyle w:val="pxpl"/>
          <w:rFonts w:ascii="Arial" w:eastAsiaTheme="majorEastAsia" w:hAnsi="Arial" w:cs="Arial"/>
          <w:color w:val="000000"/>
        </w:rPr>
        <w:fldChar w:fldCharType="begin"/>
      </w:r>
      <w:r w:rsidR="00F44597" w:rsidRPr="00E6309C">
        <w:rPr>
          <w:rStyle w:val="pxpl"/>
          <w:rFonts w:ascii="Arial" w:eastAsiaTheme="majorEastAsia" w:hAnsi="Arial" w:cs="Arial"/>
          <w:color w:val="000000"/>
        </w:rPr>
        <w:instrText>st.ref.id="I07H5U1"</w:instrText>
      </w:r>
      <w:r w:rsidR="00F44597" w:rsidRPr="00E6309C">
        <w:rPr>
          <w:rStyle w:val="pxpl"/>
          <w:rFonts w:ascii="Arial" w:eastAsiaTheme="majorEastAsia" w:hAnsi="Arial" w:cs="Arial"/>
          <w:color w:val="000000"/>
        </w:rPr>
        <w:fldChar w:fldCharType="end"/>
      </w:r>
      <w:r w:rsidR="00F44597" w:rsidRPr="00902AEF">
        <w:rPr>
          <w:rFonts w:ascii="Arial" w:hAnsi="Arial" w:cs="Arial"/>
          <w:color w:val="212121"/>
        </w:rPr>
        <w:t>nterrogatories</w:t>
      </w:r>
      <w:r w:rsidR="00F44597">
        <w:rPr>
          <w:rFonts w:ascii="Arial" w:hAnsi="Arial" w:cs="Arial"/>
          <w:color w:val="212121"/>
        </w:rPr>
        <w:t xml:space="preserve"> </w:t>
      </w:r>
      <w:r w:rsidR="00F44597" w:rsidRPr="00E6309C">
        <w:rPr>
          <w:rFonts w:ascii="Arial" w:hAnsi="Arial" w:cs="Arial"/>
          <w:color w:val="000000"/>
        </w:rPr>
        <w:t xml:space="preserve">may still be vacated in </w:t>
      </w:r>
      <w:r w:rsidR="00A276E4">
        <w:rPr>
          <w:rFonts w:ascii="Arial" w:hAnsi="Arial" w:cs="Arial"/>
          <w:color w:val="000000"/>
        </w:rPr>
        <w:t>their</w:t>
      </w:r>
      <w:r w:rsidR="00F44597" w:rsidRPr="00E6309C">
        <w:rPr>
          <w:rFonts w:ascii="Arial" w:hAnsi="Arial" w:cs="Arial"/>
          <w:color w:val="000000"/>
        </w:rPr>
        <w:t xml:space="preserve"> entirety if </w:t>
      </w:r>
      <w:r w:rsidR="00A276E4">
        <w:rPr>
          <w:rFonts w:ascii="Arial" w:hAnsi="Arial" w:cs="Arial"/>
          <w:color w:val="000000"/>
        </w:rPr>
        <w:t xml:space="preserve">they are </w:t>
      </w:r>
      <w:r w:rsidR="00F44597" w:rsidRPr="00E6309C">
        <w:rPr>
          <w:rFonts w:ascii="Arial" w:hAnsi="Arial" w:cs="Arial"/>
          <w:color w:val="000000"/>
        </w:rPr>
        <w:t xml:space="preserve">found </w:t>
      </w:r>
      <w:r w:rsidR="00F44597" w:rsidRPr="00E6309C">
        <w:rPr>
          <w:rFonts w:ascii="Arial" w:hAnsi="Arial" w:cs="Arial"/>
          <w:vanish/>
          <w:color w:val="000000"/>
        </w:rPr>
        <w:t>&amp;ldquo;</w:t>
      </w:r>
      <w:r w:rsidR="00F44597" w:rsidRPr="00E6309C">
        <w:rPr>
          <w:rStyle w:val="pxntc"/>
          <w:rFonts w:ascii="Arial" w:hAnsi="Arial" w:cs="Arial"/>
          <w:color w:val="000000"/>
        </w:rPr>
        <w:t>“</w:t>
      </w:r>
      <w:r w:rsidR="00F44597" w:rsidRPr="00E6309C">
        <w:rPr>
          <w:rFonts w:ascii="Arial" w:hAnsi="Arial" w:cs="Arial"/>
          <w:color w:val="000000"/>
        </w:rPr>
        <w:t>unduly burdensome.</w:t>
      </w:r>
      <w:r w:rsidR="00F44597" w:rsidRPr="00E6309C">
        <w:rPr>
          <w:rFonts w:ascii="Arial" w:hAnsi="Arial" w:cs="Arial"/>
          <w:vanish/>
          <w:color w:val="000000"/>
        </w:rPr>
        <w:t>&amp;rdquo;</w:t>
      </w:r>
      <w:r w:rsidR="00F44597" w:rsidRPr="00E6309C">
        <w:rPr>
          <w:rStyle w:val="pxntc"/>
          <w:rFonts w:ascii="Arial" w:hAnsi="Arial" w:cs="Arial"/>
          <w:color w:val="000000"/>
        </w:rPr>
        <w:t>”</w:t>
      </w:r>
      <w:r w:rsidR="00F44597" w:rsidRPr="00E6309C">
        <w:rPr>
          <w:rFonts w:ascii="Arial" w:hAnsi="Arial" w:cs="Arial"/>
        </w:rPr>
        <w:t xml:space="preserve"> </w:t>
      </w:r>
      <w:r w:rsidR="00F44597" w:rsidRPr="00902AEF">
        <w:rPr>
          <w:rFonts w:ascii="Arial" w:hAnsi="Arial" w:cs="Arial"/>
        </w:rPr>
        <w:t xml:space="preserve">In </w:t>
      </w:r>
      <w:r w:rsidR="00F44597" w:rsidRPr="00260DA3">
        <w:rPr>
          <w:rStyle w:val="Emphasis"/>
          <w:rFonts w:ascii="Arial" w:hAnsi="Arial" w:cs="Arial"/>
          <w:i w:val="0"/>
          <w:iCs w:val="0"/>
          <w:color w:val="000000" w:themeColor="text1"/>
        </w:rPr>
        <w:t>Bennett v. State Farm Fire &amp; Cas. Co.</w:t>
      </w:r>
      <w:r w:rsidR="00F44597" w:rsidRPr="00260DA3">
        <w:rPr>
          <w:rFonts w:ascii="Arial" w:hAnsi="Arial" w:cs="Arial"/>
          <w:i/>
          <w:iCs/>
          <w:color w:val="000000" w:themeColor="text1"/>
        </w:rPr>
        <w:t>,</w:t>
      </w:r>
      <w:r w:rsidR="00F44597" w:rsidRPr="00260DA3">
        <w:rPr>
          <w:rFonts w:ascii="Arial" w:hAnsi="Arial" w:cs="Arial"/>
          <w:color w:val="000000" w:themeColor="text1"/>
        </w:rPr>
        <w:t xml:space="preserve"> </w:t>
      </w:r>
      <w:r w:rsidR="00F44597">
        <w:rPr>
          <w:rFonts w:ascii="Arial" w:hAnsi="Arial" w:cs="Arial"/>
          <w:color w:val="000000" w:themeColor="text1"/>
        </w:rPr>
        <w:t>(</w:t>
      </w:r>
      <w:r w:rsidR="00F44597" w:rsidRPr="00902AEF">
        <w:rPr>
          <w:rFonts w:ascii="Arial" w:hAnsi="Arial" w:cs="Arial"/>
        </w:rPr>
        <w:t>189 A.D.3d 749, 137 N.Y.S.3d 120, (2d Dep't 2020</w:t>
      </w:r>
      <w:r w:rsidR="00F44597">
        <w:rPr>
          <w:rFonts w:ascii="Arial" w:hAnsi="Arial" w:cs="Arial"/>
        </w:rPr>
        <w:t>)</w:t>
      </w:r>
      <w:r w:rsidR="00F44597" w:rsidRPr="00902AEF">
        <w:rPr>
          <w:rFonts w:ascii="Arial" w:hAnsi="Arial" w:cs="Arial"/>
          <w:i/>
          <w:iCs/>
        </w:rPr>
        <w:t>)</w:t>
      </w:r>
      <w:r w:rsidR="00F44597" w:rsidRPr="00902AEF">
        <w:rPr>
          <w:rFonts w:ascii="Arial" w:hAnsi="Arial" w:cs="Arial"/>
          <w:i/>
          <w:iCs/>
          <w:color w:val="212121"/>
        </w:rPr>
        <w:t> </w:t>
      </w:r>
      <w:r w:rsidR="00F44597" w:rsidRPr="00902AEF">
        <w:rPr>
          <w:rFonts w:ascii="Arial" w:hAnsi="Arial" w:cs="Arial"/>
          <w:color w:val="212121"/>
        </w:rPr>
        <w:t>the Appellate Divison held that a motion to compel responses to demands and interrogatories is properly denied where the demands and interrogatories seek information which is irrelevant, overly broad, or burdensome. Where discovery demands are overbroad, ‘the appropriate remedy is to vacate the entire demand rather than prune it.</w:t>
      </w:r>
    </w:p>
    <w:p w14:paraId="1E60E518" w14:textId="77777777" w:rsidR="00066AA4" w:rsidRDefault="00066AA4" w:rsidP="000F34A9">
      <w:pPr>
        <w:pStyle w:val="pxs"/>
        <w:ind w:firstLine="720"/>
        <w:rPr>
          <w:rStyle w:val="pxpl"/>
          <w:rFonts w:ascii="Arial" w:hAnsi="Arial" w:cs="Arial"/>
          <w:i/>
          <w:iCs/>
          <w:color w:val="262626"/>
        </w:rPr>
      </w:pPr>
    </w:p>
    <w:p w14:paraId="1BDFB838" w14:textId="2066BE23" w:rsidR="005F58AC" w:rsidRDefault="00FF21DD" w:rsidP="00EC2047">
      <w:pPr>
        <w:pStyle w:val="pxs"/>
        <w:ind w:firstLine="720"/>
        <w:rPr>
          <w:rFonts w:ascii="Arial" w:hAnsi="Arial" w:cs="Arial"/>
          <w:color w:val="262626"/>
          <w:shd w:val="clear" w:color="auto" w:fill="FFFFFF"/>
        </w:rPr>
      </w:pPr>
      <w:r w:rsidRPr="000029D7">
        <w:rPr>
          <w:rFonts w:ascii="Arial" w:hAnsi="Arial" w:cs="Arial"/>
        </w:rPr>
        <w:t>22 NYCRR  202.16 (f) (2) (ii)</w:t>
      </w:r>
      <w:r w:rsidR="004C2A35">
        <w:rPr>
          <w:rFonts w:ascii="Arial" w:hAnsi="Arial" w:cs="Arial"/>
        </w:rPr>
        <w:t xml:space="preserve">, which is part of the matrimonial calendar control rules, </w:t>
      </w:r>
      <w:r w:rsidRPr="000029D7">
        <w:rPr>
          <w:rFonts w:ascii="Arial" w:hAnsi="Arial" w:cs="Arial"/>
        </w:rPr>
        <w:t>was amended effective July 1, 2022</w:t>
      </w:r>
      <w:r w:rsidR="003E4C0F">
        <w:rPr>
          <w:rFonts w:ascii="Arial" w:hAnsi="Arial" w:cs="Arial"/>
        </w:rPr>
        <w:t xml:space="preserve">. At that time </w:t>
      </w:r>
      <w:r w:rsidRPr="000029D7">
        <w:rPr>
          <w:rFonts w:ascii="Arial" w:hAnsi="Arial" w:cs="Arial"/>
          <w:color w:val="000000"/>
        </w:rPr>
        <w:t xml:space="preserve">22 NYCRR 202.20 </w:t>
      </w:r>
      <w:r w:rsidR="00E55867">
        <w:rPr>
          <w:rFonts w:ascii="Arial" w:hAnsi="Arial" w:cs="Arial"/>
          <w:color w:val="000000"/>
        </w:rPr>
        <w:t>an almost</w:t>
      </w:r>
      <w:r w:rsidR="00B76AEF">
        <w:rPr>
          <w:rFonts w:ascii="Arial" w:hAnsi="Arial" w:cs="Arial"/>
          <w:color w:val="000000"/>
        </w:rPr>
        <w:t xml:space="preserve"> identical provision in the </w:t>
      </w:r>
      <w:r w:rsidR="00453559">
        <w:rPr>
          <w:rFonts w:ascii="Arial" w:hAnsi="Arial" w:cs="Arial"/>
          <w:color w:val="000000"/>
        </w:rPr>
        <w:t xml:space="preserve">commercial division rules </w:t>
      </w:r>
      <w:r w:rsidRPr="000029D7">
        <w:rPr>
          <w:rFonts w:ascii="Arial" w:hAnsi="Arial" w:cs="Arial"/>
          <w:color w:val="000000"/>
        </w:rPr>
        <w:t>w</w:t>
      </w:r>
      <w:r w:rsidR="00BE5863" w:rsidRPr="000029D7">
        <w:rPr>
          <w:rFonts w:ascii="Arial" w:hAnsi="Arial" w:cs="Arial"/>
          <w:color w:val="000000"/>
        </w:rPr>
        <w:t>as</w:t>
      </w:r>
      <w:r w:rsidRPr="000029D7">
        <w:rPr>
          <w:rFonts w:ascii="Arial" w:hAnsi="Arial" w:cs="Arial"/>
          <w:color w:val="000000"/>
        </w:rPr>
        <w:t xml:space="preserve"> incorporated into the matrimonial rules. </w:t>
      </w:r>
      <w:r w:rsidR="00AD1E5E" w:rsidRPr="000029D7">
        <w:rPr>
          <w:rFonts w:ascii="Arial" w:hAnsi="Arial" w:cs="Arial"/>
          <w:color w:val="000000"/>
        </w:rPr>
        <w:t>The</w:t>
      </w:r>
      <w:r w:rsidR="00B224CA">
        <w:rPr>
          <w:rFonts w:ascii="Arial" w:hAnsi="Arial" w:cs="Arial"/>
          <w:color w:val="000000"/>
        </w:rPr>
        <w:t>se rules</w:t>
      </w:r>
      <w:r w:rsidR="00AD1E5E" w:rsidRPr="000029D7">
        <w:rPr>
          <w:rFonts w:ascii="Arial" w:hAnsi="Arial" w:cs="Arial"/>
          <w:color w:val="000000"/>
        </w:rPr>
        <w:t xml:space="preserve"> provide</w:t>
      </w:r>
      <w:r w:rsidR="000029D7" w:rsidRPr="000029D7">
        <w:rPr>
          <w:rFonts w:ascii="Arial" w:hAnsi="Arial" w:cs="Arial"/>
          <w:color w:val="000000"/>
        </w:rPr>
        <w:t xml:space="preserve"> that </w:t>
      </w:r>
      <w:r w:rsidR="008D7261">
        <w:rPr>
          <w:rFonts w:ascii="Arial" w:hAnsi="Arial" w:cs="Arial"/>
          <w:color w:val="000000"/>
        </w:rPr>
        <w:t xml:space="preserve">in a matrimonial action, </w:t>
      </w:r>
      <w:r w:rsidR="000029D7" w:rsidRPr="000029D7">
        <w:rPr>
          <w:rFonts w:ascii="Arial" w:hAnsi="Arial" w:cs="Arial"/>
          <w:color w:val="000000"/>
        </w:rPr>
        <w:t>u</w:t>
      </w:r>
      <w:r w:rsidR="00AD1E5E" w:rsidRPr="000029D7">
        <w:rPr>
          <w:rFonts w:ascii="Arial" w:hAnsi="Arial" w:cs="Arial"/>
          <w:color w:val="262626"/>
          <w:shd w:val="clear" w:color="auto" w:fill="FFFFFF"/>
        </w:rPr>
        <w:t>nless otherwise stipulated by the parties or ordered by the court, interrogatories shall be no more than 25 in number including subparts</w:t>
      </w:r>
      <w:r w:rsidR="000029D7" w:rsidRPr="000029D7">
        <w:rPr>
          <w:rFonts w:ascii="Arial" w:hAnsi="Arial" w:cs="Arial"/>
          <w:color w:val="262626"/>
          <w:shd w:val="clear" w:color="auto" w:fill="FFFFFF"/>
        </w:rPr>
        <w:t>.</w:t>
      </w:r>
      <w:r w:rsidR="000029D7">
        <w:rPr>
          <w:rFonts w:ascii="Arial" w:hAnsi="Arial" w:cs="Arial"/>
          <w:color w:val="262626"/>
          <w:shd w:val="clear" w:color="auto" w:fill="FFFFFF"/>
        </w:rPr>
        <w:t xml:space="preserve"> </w:t>
      </w:r>
    </w:p>
    <w:p w14:paraId="69D3108B" w14:textId="77777777" w:rsidR="005F58AC" w:rsidRDefault="005F58AC" w:rsidP="00EC2047">
      <w:pPr>
        <w:pStyle w:val="pxs"/>
        <w:ind w:firstLine="720"/>
        <w:rPr>
          <w:rFonts w:ascii="Arial" w:hAnsi="Arial" w:cs="Arial"/>
          <w:color w:val="262626"/>
          <w:shd w:val="clear" w:color="auto" w:fill="FFFFFF"/>
        </w:rPr>
      </w:pPr>
    </w:p>
    <w:p w14:paraId="020FE89E" w14:textId="117D5FFE" w:rsidR="008D7261" w:rsidRDefault="00A3253B" w:rsidP="00EC2047">
      <w:pPr>
        <w:pStyle w:val="pxs"/>
        <w:ind w:firstLine="720"/>
        <w:rPr>
          <w:rFonts w:ascii="Arial" w:hAnsi="Arial" w:cs="Arial"/>
        </w:rPr>
      </w:pPr>
      <w:r>
        <w:rPr>
          <w:rFonts w:ascii="Arial" w:hAnsi="Arial" w:cs="Arial"/>
          <w:color w:val="000000" w:themeColor="text1"/>
        </w:rPr>
        <w:t xml:space="preserve">Unless an adversary stipulates to exceed the </w:t>
      </w:r>
      <w:r w:rsidR="000551A7">
        <w:rPr>
          <w:rFonts w:ascii="Arial" w:hAnsi="Arial" w:cs="Arial"/>
          <w:color w:val="000000" w:themeColor="text1"/>
        </w:rPr>
        <w:t xml:space="preserve">25 interrogatory limit </w:t>
      </w:r>
      <w:r w:rsidR="008D7261">
        <w:rPr>
          <w:rFonts w:ascii="Arial" w:hAnsi="Arial" w:cs="Arial"/>
          <w:color w:val="000000" w:themeColor="text1"/>
        </w:rPr>
        <w:t>in matrimonial actions</w:t>
      </w:r>
      <w:r>
        <w:rPr>
          <w:rFonts w:ascii="Arial" w:hAnsi="Arial" w:cs="Arial"/>
          <w:color w:val="000000" w:themeColor="text1"/>
        </w:rPr>
        <w:t>, the new rules require a court order to serve more than 25 interrogatories. This</w:t>
      </w:r>
      <w:r w:rsidR="008D7261">
        <w:rPr>
          <w:rFonts w:ascii="Arial" w:hAnsi="Arial" w:cs="Arial"/>
          <w:color w:val="000000" w:themeColor="text1"/>
        </w:rPr>
        <w:t xml:space="preserve"> </w:t>
      </w:r>
      <w:r w:rsidR="00FF21DD" w:rsidRPr="00D73C59">
        <w:rPr>
          <w:rFonts w:ascii="Arial" w:hAnsi="Arial" w:cs="Arial"/>
        </w:rPr>
        <w:t>places the burden on the proponent of the interrogatories to make a motion</w:t>
      </w:r>
      <w:r w:rsidR="000A1E2F">
        <w:rPr>
          <w:rFonts w:ascii="Arial" w:hAnsi="Arial" w:cs="Arial"/>
        </w:rPr>
        <w:t xml:space="preserve"> </w:t>
      </w:r>
      <w:r>
        <w:rPr>
          <w:rFonts w:ascii="Arial" w:hAnsi="Arial" w:cs="Arial"/>
        </w:rPr>
        <w:t xml:space="preserve">on notice </w:t>
      </w:r>
      <w:r w:rsidR="001A220E">
        <w:rPr>
          <w:rFonts w:ascii="Arial" w:hAnsi="Arial" w:cs="Arial"/>
        </w:rPr>
        <w:t xml:space="preserve">for </w:t>
      </w:r>
      <w:r w:rsidR="006912E1">
        <w:rPr>
          <w:rFonts w:ascii="Arial" w:hAnsi="Arial" w:cs="Arial"/>
        </w:rPr>
        <w:t xml:space="preserve">an order granting him or her </w:t>
      </w:r>
      <w:r w:rsidR="001A220E">
        <w:rPr>
          <w:rFonts w:ascii="Arial" w:hAnsi="Arial" w:cs="Arial"/>
        </w:rPr>
        <w:t xml:space="preserve">permission </w:t>
      </w:r>
      <w:r w:rsidR="000A1E2F">
        <w:rPr>
          <w:rFonts w:ascii="Arial" w:hAnsi="Arial" w:cs="Arial"/>
        </w:rPr>
        <w:t xml:space="preserve">to </w:t>
      </w:r>
      <w:r w:rsidR="00FF21DD" w:rsidRPr="00D73C59">
        <w:rPr>
          <w:rFonts w:ascii="Arial" w:hAnsi="Arial" w:cs="Arial"/>
        </w:rPr>
        <w:t>serve more than 25 interrogatories</w:t>
      </w:r>
      <w:r w:rsidR="001A220E">
        <w:rPr>
          <w:rFonts w:ascii="Arial" w:hAnsi="Arial" w:cs="Arial"/>
        </w:rPr>
        <w:t xml:space="preserve">.  </w:t>
      </w:r>
      <w:r w:rsidR="00FF21DD" w:rsidRPr="00D73C59">
        <w:rPr>
          <w:rStyle w:val="pxpl"/>
          <w:rFonts w:eastAsiaTheme="majorEastAsia"/>
          <w:color w:val="000000"/>
        </w:rPr>
        <w:fldChar w:fldCharType="begin"/>
      </w:r>
      <w:r w:rsidR="00FF21DD" w:rsidRPr="00D73C59">
        <w:rPr>
          <w:rStyle w:val="pxpl"/>
          <w:rFonts w:eastAsiaTheme="majorEastAsia"/>
          <w:color w:val="000000"/>
        </w:rPr>
        <w:instrText>st.ref.id="I07H5TU"</w:instrText>
      </w:r>
      <w:r w:rsidR="00FF21DD" w:rsidRPr="00D73C59">
        <w:rPr>
          <w:rStyle w:val="pxpl"/>
          <w:rFonts w:eastAsiaTheme="majorEastAsia"/>
          <w:color w:val="000000"/>
        </w:rPr>
        <w:fldChar w:fldCharType="end"/>
      </w:r>
      <w:r w:rsidR="00FF21DD" w:rsidRPr="00D73C59">
        <w:rPr>
          <w:rFonts w:ascii="Arial" w:hAnsi="Arial" w:cs="Arial"/>
          <w:w w:val="105"/>
        </w:rPr>
        <w:t xml:space="preserve">The 25 question limit </w:t>
      </w:r>
      <w:r w:rsidR="006912E1">
        <w:rPr>
          <w:rFonts w:ascii="Arial" w:hAnsi="Arial" w:cs="Arial"/>
          <w:w w:val="105"/>
        </w:rPr>
        <w:t xml:space="preserve">on interrogatories </w:t>
      </w:r>
      <w:r w:rsidR="00FF21DD" w:rsidRPr="00D73C59">
        <w:rPr>
          <w:rFonts w:ascii="Arial" w:hAnsi="Arial" w:cs="Arial"/>
          <w:w w:val="105"/>
        </w:rPr>
        <w:t>effectively precludes th</w:t>
      </w:r>
      <w:r w:rsidR="00FF21DD" w:rsidRPr="00D73C59">
        <w:rPr>
          <w:rFonts w:ascii="Arial" w:hAnsi="Arial" w:cs="Arial"/>
        </w:rPr>
        <w:t xml:space="preserve">e parties </w:t>
      </w:r>
      <w:r>
        <w:rPr>
          <w:rFonts w:ascii="Arial" w:hAnsi="Arial" w:cs="Arial"/>
        </w:rPr>
        <w:t xml:space="preserve">in contested </w:t>
      </w:r>
      <w:r w:rsidR="00FF21DD" w:rsidRPr="00D73C59">
        <w:rPr>
          <w:rFonts w:ascii="Arial" w:hAnsi="Arial" w:cs="Arial"/>
        </w:rPr>
        <w:t>matrimonial actions</w:t>
      </w:r>
      <w:r>
        <w:rPr>
          <w:rFonts w:ascii="Arial" w:hAnsi="Arial" w:cs="Arial"/>
        </w:rPr>
        <w:t xml:space="preserve"> </w:t>
      </w:r>
      <w:r w:rsidRPr="00D73C59">
        <w:rPr>
          <w:rFonts w:ascii="Arial" w:hAnsi="Arial" w:cs="Arial"/>
        </w:rPr>
        <w:t xml:space="preserve">from using interrogatories </w:t>
      </w:r>
      <w:r w:rsidR="00FF21DD" w:rsidRPr="00D73C59">
        <w:rPr>
          <w:rFonts w:ascii="Arial" w:hAnsi="Arial" w:cs="Arial"/>
        </w:rPr>
        <w:t>to expedite the discovery process</w:t>
      </w:r>
      <w:r w:rsidR="005F58AC">
        <w:rPr>
          <w:rFonts w:ascii="Arial" w:hAnsi="Arial" w:cs="Arial"/>
        </w:rPr>
        <w:t>, unless they engage in delaying motion practice</w:t>
      </w:r>
      <w:r w:rsidR="00FF21DD" w:rsidRPr="00D73C59">
        <w:rPr>
          <w:rFonts w:ascii="Arial" w:hAnsi="Arial" w:cs="Arial"/>
        </w:rPr>
        <w:t xml:space="preserve">. </w:t>
      </w:r>
    </w:p>
    <w:p w14:paraId="5098C000" w14:textId="77777777" w:rsidR="008D7261" w:rsidRDefault="008D7261" w:rsidP="00EC2047">
      <w:pPr>
        <w:pStyle w:val="pxs"/>
        <w:ind w:firstLine="720"/>
        <w:rPr>
          <w:rFonts w:ascii="Arial" w:hAnsi="Arial" w:cs="Arial"/>
        </w:rPr>
      </w:pPr>
    </w:p>
    <w:p w14:paraId="25286690" w14:textId="50A954BB" w:rsidR="00EC2047" w:rsidRDefault="00FF21DD" w:rsidP="0065076A">
      <w:pPr>
        <w:pStyle w:val="FootnoteText"/>
        <w:rPr>
          <w:rFonts w:ascii="Arial" w:hAnsi="Arial" w:cs="Arial"/>
          <w:color w:val="000000" w:themeColor="text1"/>
          <w:sz w:val="24"/>
          <w:szCs w:val="24"/>
        </w:rPr>
      </w:pPr>
      <w:r w:rsidRPr="00D73C59">
        <w:rPr>
          <w:rFonts w:ascii="Arial" w:hAnsi="Arial" w:cs="Arial"/>
        </w:rPr>
        <w:lastRenderedPageBreak/>
        <w:t xml:space="preserve"> </w:t>
      </w:r>
      <w:r w:rsidR="00503D70">
        <w:rPr>
          <w:rFonts w:ascii="Arial" w:hAnsi="Arial" w:cs="Arial"/>
        </w:rPr>
        <w:tab/>
      </w:r>
      <w:r w:rsidR="004C2A35">
        <w:rPr>
          <w:rFonts w:ascii="Arial" w:hAnsi="Arial" w:cs="Arial"/>
          <w:color w:val="000000"/>
          <w:sz w:val="24"/>
          <w:szCs w:val="24"/>
          <w:shd w:val="clear" w:color="auto" w:fill="FFFFFF"/>
        </w:rPr>
        <w:t xml:space="preserve">The </w:t>
      </w:r>
      <w:r w:rsidRPr="00503D70">
        <w:rPr>
          <w:rFonts w:ascii="Arial" w:hAnsi="Arial" w:cs="Arial"/>
          <w:color w:val="000000"/>
          <w:sz w:val="24"/>
          <w:szCs w:val="24"/>
          <w:shd w:val="clear" w:color="auto" w:fill="FFFFFF"/>
        </w:rPr>
        <w:t>authority to regulate practice and procedure in the courts is delegated primarily to the Legislature.</w:t>
      </w:r>
      <w:r w:rsidR="006912E1" w:rsidRPr="00503D70">
        <w:rPr>
          <w:rFonts w:ascii="Arial" w:hAnsi="Arial" w:cs="Arial"/>
          <w:color w:val="000000"/>
          <w:sz w:val="24"/>
          <w:szCs w:val="24"/>
          <w:shd w:val="clear" w:color="auto" w:fill="FFFFFF"/>
        </w:rPr>
        <w:t xml:space="preserve"> (N.Y. Const., art. VI,  30). </w:t>
      </w:r>
      <w:r w:rsidRPr="00503D70">
        <w:rPr>
          <w:rFonts w:ascii="Arial" w:hAnsi="Arial" w:cs="Arial"/>
          <w:color w:val="000000"/>
          <w:sz w:val="24"/>
          <w:szCs w:val="24"/>
          <w:shd w:val="clear" w:color="auto" w:fill="FFFFFF"/>
        </w:rPr>
        <w:t>Generally, the Legislature has the power to prescribe rules of practice governing court proceedings, and any rules the courts adopt must be consistent with existing legislation and may be subsequently abrogated by statute.</w:t>
      </w:r>
      <w:r w:rsidR="006912E1" w:rsidRPr="00503D70">
        <w:rPr>
          <w:rFonts w:ascii="Arial" w:hAnsi="Arial" w:cs="Arial"/>
          <w:color w:val="000000"/>
          <w:sz w:val="24"/>
          <w:szCs w:val="24"/>
          <w:shd w:val="clear" w:color="auto" w:fill="FFFFFF"/>
        </w:rPr>
        <w:t xml:space="preserve"> (</w:t>
      </w:r>
      <w:r w:rsidR="006912E1" w:rsidRPr="00503D70">
        <w:rPr>
          <w:rFonts w:ascii="Arial" w:hAnsi="Arial" w:cs="Arial"/>
          <w:color w:val="000000"/>
          <w:sz w:val="24"/>
          <w:szCs w:val="24"/>
        </w:rPr>
        <w:t>Cohn v. Borchard Affiliations</w:t>
      </w:r>
      <w:r w:rsidR="006912E1" w:rsidRPr="00503D70">
        <w:rPr>
          <w:rFonts w:ascii="Arial" w:hAnsi="Arial" w:cs="Arial"/>
          <w:i/>
          <w:iCs/>
          <w:color w:val="000000"/>
          <w:sz w:val="24"/>
          <w:szCs w:val="24"/>
        </w:rPr>
        <w:t>,</w:t>
      </w:r>
      <w:r w:rsidR="006912E1" w:rsidRPr="00503D70">
        <w:rPr>
          <w:rFonts w:ascii="Arial" w:hAnsi="Arial" w:cs="Arial"/>
          <w:color w:val="000000"/>
          <w:sz w:val="24"/>
          <w:szCs w:val="24"/>
          <w:shd w:val="clear" w:color="auto" w:fill="FFFFFF"/>
        </w:rPr>
        <w:t> 25 N.Y.2d 237, 303 N.Y.S.2d 633 (1969))</w:t>
      </w:r>
      <w:r w:rsidR="00503D70">
        <w:rPr>
          <w:rFonts w:ascii="Arial" w:hAnsi="Arial" w:cs="Arial"/>
          <w:color w:val="000000"/>
          <w:sz w:val="24"/>
          <w:szCs w:val="24"/>
          <w:shd w:val="clear" w:color="auto" w:fill="FFFFFF"/>
        </w:rPr>
        <w:t xml:space="preserve">. </w:t>
      </w:r>
      <w:r w:rsidRPr="00AC43CA">
        <w:rPr>
          <w:rFonts w:ascii="Arial" w:hAnsi="Arial" w:cs="Arial"/>
          <w:sz w:val="24"/>
          <w:szCs w:val="24"/>
        </w:rPr>
        <w:t>N</w:t>
      </w:r>
      <w:r w:rsidRPr="00AC43CA">
        <w:rPr>
          <w:rFonts w:ascii="Arial" w:hAnsi="Arial" w:cs="Arial"/>
          <w:color w:val="000000"/>
          <w:sz w:val="24"/>
          <w:szCs w:val="24"/>
        </w:rPr>
        <w:t>.Y. Constitution, Article VI,  30, which is the source of the Appellate Division's broad judicial rule-making authority does not afford </w:t>
      </w:r>
      <w:r w:rsidRPr="00AC43CA">
        <w:rPr>
          <w:rFonts w:ascii="Arial" w:hAnsi="Arial" w:cs="Arial"/>
          <w:i/>
          <w:iCs/>
          <w:color w:val="000000"/>
          <w:sz w:val="24"/>
          <w:szCs w:val="24"/>
        </w:rPr>
        <w:t>carte blanche</w:t>
      </w:r>
      <w:r w:rsidRPr="00AC43CA">
        <w:rPr>
          <w:rFonts w:ascii="Arial" w:hAnsi="Arial" w:cs="Arial"/>
          <w:color w:val="000000"/>
          <w:sz w:val="24"/>
          <w:szCs w:val="24"/>
        </w:rPr>
        <w:t xml:space="preserve"> to courts in promulgating regulations. A court may not significantly affect the legal relationship between litigating parties through the exercise of its rule-making authority  No court rule can enlarge or abridge rights conferred by statute and this bars the imposition of additional procedural hurdles that impair statutory remedies. </w:t>
      </w:r>
      <w:r w:rsidR="00A57729">
        <w:rPr>
          <w:rFonts w:ascii="Arial" w:hAnsi="Arial" w:cs="Arial"/>
          <w:color w:val="000000"/>
          <w:sz w:val="24"/>
          <w:szCs w:val="24"/>
        </w:rPr>
        <w:t>(</w:t>
      </w:r>
      <w:r w:rsidR="00503D70" w:rsidRPr="00AC43CA">
        <w:rPr>
          <w:rFonts w:ascii="Arial" w:hAnsi="Arial" w:cs="Arial"/>
          <w:color w:val="000000"/>
          <w:sz w:val="24"/>
          <w:szCs w:val="24"/>
        </w:rPr>
        <w:t xml:space="preserve">People v Ramos, 85 N.Y.2d 678, 651 N.E.2d 895, 628 N.Y.S.2d 27 (1995); See also </w:t>
      </w:r>
      <w:hyperlink r:id="rId7" w:history="1">
        <w:r w:rsidR="00503D70" w:rsidRPr="00AC43CA">
          <w:rPr>
            <w:rFonts w:ascii="Arial" w:hAnsi="Arial" w:cs="Arial"/>
            <w:color w:val="000000" w:themeColor="text1"/>
            <w:sz w:val="24"/>
            <w:szCs w:val="24"/>
          </w:rPr>
          <w:t>Gormerly v. McGlynn, 84 N.Y. 284, 1881 WL 12807 (1881)</w:t>
        </w:r>
      </w:hyperlink>
      <w:r w:rsidR="00503D70" w:rsidRPr="00AC43CA">
        <w:rPr>
          <w:rFonts w:ascii="Arial" w:hAnsi="Arial" w:cs="Arial"/>
          <w:color w:val="000000" w:themeColor="text1"/>
          <w:sz w:val="24"/>
          <w:szCs w:val="24"/>
        </w:rPr>
        <w:t xml:space="preserve">; </w:t>
      </w:r>
      <w:hyperlink r:id="rId8" w:history="1">
        <w:r w:rsidR="00503D70" w:rsidRPr="00AC43CA">
          <w:rPr>
            <w:rFonts w:ascii="Arial" w:hAnsi="Arial" w:cs="Arial"/>
            <w:color w:val="000000" w:themeColor="text1"/>
            <w:sz w:val="24"/>
            <w:szCs w:val="24"/>
          </w:rPr>
          <w:t>Moot v. Moot, 214 N.Y. 204, 108 N.E. 424 (1915)</w:t>
        </w:r>
      </w:hyperlink>
      <w:r w:rsidR="00503D70" w:rsidRPr="00AC43CA">
        <w:rPr>
          <w:rFonts w:ascii="Arial" w:hAnsi="Arial" w:cs="Arial"/>
          <w:color w:val="000000" w:themeColor="text1"/>
          <w:sz w:val="24"/>
          <w:szCs w:val="24"/>
        </w:rPr>
        <w:t xml:space="preserve">). </w:t>
      </w:r>
    </w:p>
    <w:p w14:paraId="5337D717" w14:textId="79C0F03B" w:rsidR="008D7261" w:rsidRPr="00B24784" w:rsidRDefault="008D7261" w:rsidP="008D7261">
      <w:pPr>
        <w:pStyle w:val="pxs"/>
        <w:ind w:firstLine="720"/>
        <w:rPr>
          <w:rFonts w:ascii="Arial" w:hAnsi="Arial" w:cs="Arial"/>
          <w:color w:val="FF0000"/>
        </w:rPr>
      </w:pPr>
      <w:r>
        <w:rPr>
          <w:rFonts w:ascii="Arial" w:hAnsi="Arial" w:cs="Arial"/>
        </w:rPr>
        <w:t xml:space="preserve">The rule limiting interrogatories to 25 in matrimonial actions </w:t>
      </w:r>
      <w:r w:rsidRPr="00D73C59">
        <w:rPr>
          <w:rFonts w:ascii="Arial" w:hAnsi="Arial" w:cs="Arial"/>
        </w:rPr>
        <w:t>conflicts with CPLR 3130 which contains no limit on the number of interrogatories a party may serve</w:t>
      </w:r>
      <w:r w:rsidRPr="004C2A35">
        <w:rPr>
          <w:rFonts w:ascii="Arial" w:hAnsi="Arial" w:cs="Arial"/>
          <w:w w:val="105"/>
        </w:rPr>
        <w:t xml:space="preserve"> </w:t>
      </w:r>
      <w:r>
        <w:rPr>
          <w:rFonts w:ascii="Arial" w:hAnsi="Arial" w:cs="Arial"/>
          <w:w w:val="105"/>
        </w:rPr>
        <w:t xml:space="preserve">(subject to CPLR 3103 which allows the court </w:t>
      </w:r>
      <w:r>
        <w:rPr>
          <w:rFonts w:ascii="Arial" w:hAnsi="Arial" w:cs="Arial"/>
          <w:color w:val="000000"/>
          <w:shd w:val="clear" w:color="auto" w:fill="FFFFFF"/>
        </w:rPr>
        <w:t xml:space="preserve">to </w:t>
      </w:r>
      <w:r w:rsidRPr="00B24784">
        <w:rPr>
          <w:rFonts w:ascii="Arial" w:hAnsi="Arial" w:cs="Arial"/>
          <w:color w:val="000000"/>
          <w:shd w:val="clear" w:color="auto" w:fill="FFFFFF"/>
        </w:rPr>
        <w:t>make a protective order denying, limiting, conditioning</w:t>
      </w:r>
      <w:r>
        <w:rPr>
          <w:rFonts w:ascii="Arial" w:hAnsi="Arial" w:cs="Arial"/>
          <w:color w:val="000000"/>
          <w:shd w:val="clear" w:color="auto" w:fill="FFFFFF"/>
        </w:rPr>
        <w:t>,</w:t>
      </w:r>
      <w:r w:rsidRPr="00B24784">
        <w:rPr>
          <w:rFonts w:ascii="Arial" w:hAnsi="Arial" w:cs="Arial"/>
          <w:color w:val="000000"/>
          <w:shd w:val="clear" w:color="auto" w:fill="FFFFFF"/>
        </w:rPr>
        <w:t xml:space="preserve"> or regulating the use of any disclosure device</w:t>
      </w:r>
      <w:r>
        <w:rPr>
          <w:rFonts w:ascii="Arial" w:hAnsi="Arial" w:cs="Arial"/>
          <w:color w:val="000000"/>
          <w:shd w:val="clear" w:color="auto" w:fill="FFFFFF"/>
        </w:rPr>
        <w:t>)</w:t>
      </w:r>
      <w:r w:rsidRPr="00B24784">
        <w:rPr>
          <w:rFonts w:ascii="Arial" w:hAnsi="Arial" w:cs="Arial"/>
          <w:color w:val="000000"/>
          <w:shd w:val="clear" w:color="auto" w:fill="FFFFFF"/>
        </w:rPr>
        <w:t xml:space="preserve">. </w:t>
      </w:r>
    </w:p>
    <w:p w14:paraId="11C41E38" w14:textId="77777777" w:rsidR="00A3253B" w:rsidRDefault="00A3253B" w:rsidP="00A3253B">
      <w:pPr>
        <w:ind w:firstLine="720"/>
        <w:textAlignment w:val="top"/>
        <w:rPr>
          <w:rFonts w:ascii="Arial" w:hAnsi="Arial" w:cs="Arial"/>
          <w:color w:val="000000"/>
        </w:rPr>
      </w:pPr>
    </w:p>
    <w:p w14:paraId="3514314C" w14:textId="1EA3C69F" w:rsidR="009260F1" w:rsidRPr="009260F1" w:rsidRDefault="008D7261" w:rsidP="00A3253B">
      <w:pPr>
        <w:ind w:firstLine="720"/>
        <w:textAlignment w:val="top"/>
        <w:rPr>
          <w:rFonts w:ascii="Arial" w:hAnsi="Arial" w:cs="Arial"/>
        </w:rPr>
      </w:pPr>
      <w:r w:rsidRPr="009260F1">
        <w:rPr>
          <w:rFonts w:ascii="Arial" w:hAnsi="Arial" w:cs="Arial"/>
          <w:color w:val="000000"/>
        </w:rPr>
        <w:t xml:space="preserve">When Commercial </w:t>
      </w:r>
      <w:r w:rsidR="00196403" w:rsidRPr="009260F1">
        <w:rPr>
          <w:rFonts w:ascii="Arial" w:hAnsi="Arial" w:cs="Arial"/>
          <w:color w:val="000000"/>
        </w:rPr>
        <w:t xml:space="preserve">Division </w:t>
      </w:r>
      <w:r w:rsidRPr="009260F1">
        <w:rPr>
          <w:rFonts w:ascii="Arial" w:hAnsi="Arial" w:cs="Arial"/>
          <w:color w:val="000000"/>
        </w:rPr>
        <w:t>R</w:t>
      </w:r>
      <w:r w:rsidRPr="009260F1">
        <w:rPr>
          <w:rFonts w:ascii="Arial" w:hAnsi="Arial" w:cs="Arial"/>
        </w:rPr>
        <w:t>ules</w:t>
      </w:r>
      <w:r w:rsidR="009260F1" w:rsidRPr="009260F1">
        <w:rPr>
          <w:rFonts w:ascii="Arial" w:hAnsi="Arial" w:cs="Arial"/>
        </w:rPr>
        <w:t xml:space="preserve"> </w:t>
      </w:r>
      <w:r w:rsidRPr="009260F1">
        <w:rPr>
          <w:rFonts w:ascii="Arial" w:hAnsi="Arial" w:cs="Arial"/>
        </w:rPr>
        <w:t xml:space="preserve">which </w:t>
      </w:r>
      <w:r w:rsidR="00CD5ED2" w:rsidRPr="009260F1">
        <w:rPr>
          <w:rFonts w:ascii="Arial" w:hAnsi="Arial" w:cs="Arial"/>
          <w:color w:val="000000"/>
        </w:rPr>
        <w:t xml:space="preserve">limit </w:t>
      </w:r>
      <w:r w:rsidR="00992D52" w:rsidRPr="009260F1">
        <w:rPr>
          <w:rFonts w:ascii="Arial" w:hAnsi="Arial" w:cs="Arial"/>
          <w:color w:val="000000"/>
        </w:rPr>
        <w:t xml:space="preserve">the number of </w:t>
      </w:r>
      <w:r w:rsidR="00CD5ED2" w:rsidRPr="009260F1">
        <w:rPr>
          <w:rFonts w:ascii="Arial" w:hAnsi="Arial" w:cs="Arial"/>
          <w:color w:val="000000"/>
        </w:rPr>
        <w:t>interrogatories</w:t>
      </w:r>
      <w:r w:rsidR="009260F1" w:rsidRPr="009260F1">
        <w:rPr>
          <w:rFonts w:ascii="Arial" w:hAnsi="Arial" w:cs="Arial"/>
          <w:color w:val="000000"/>
        </w:rPr>
        <w:t xml:space="preserve"> to 25 </w:t>
      </w:r>
      <w:r w:rsidR="00E85FF6" w:rsidRPr="009260F1">
        <w:rPr>
          <w:rFonts w:ascii="Arial" w:hAnsi="Arial" w:cs="Arial"/>
          <w:color w:val="000000"/>
        </w:rPr>
        <w:t xml:space="preserve"> </w:t>
      </w:r>
      <w:r w:rsidR="00992D52" w:rsidRPr="009260F1">
        <w:rPr>
          <w:rFonts w:ascii="Arial" w:hAnsi="Arial" w:cs="Arial"/>
          <w:color w:val="000000"/>
        </w:rPr>
        <w:t>and depositions</w:t>
      </w:r>
      <w:r w:rsidRPr="009260F1">
        <w:rPr>
          <w:rFonts w:ascii="Arial" w:hAnsi="Arial" w:cs="Arial"/>
          <w:color w:val="000000"/>
        </w:rPr>
        <w:t xml:space="preserve">, were </w:t>
      </w:r>
      <w:r w:rsidR="00A3253B">
        <w:rPr>
          <w:rFonts w:ascii="Arial" w:hAnsi="Arial" w:cs="Arial"/>
          <w:color w:val="000000"/>
        </w:rPr>
        <w:t xml:space="preserve">originally </w:t>
      </w:r>
      <w:r w:rsidRPr="009260F1">
        <w:rPr>
          <w:rFonts w:ascii="Arial" w:hAnsi="Arial" w:cs="Arial"/>
          <w:color w:val="000000"/>
        </w:rPr>
        <w:t xml:space="preserve">proposed, </w:t>
      </w:r>
      <w:r w:rsidR="009260F1" w:rsidRPr="009260F1">
        <w:rPr>
          <w:rFonts w:ascii="Arial" w:hAnsi="Arial" w:cs="Arial"/>
        </w:rPr>
        <w:t>the New York State Bar Association (</w:t>
      </w:r>
      <w:r w:rsidR="009260F1">
        <w:rPr>
          <w:rFonts w:ascii="Arial" w:hAnsi="Arial" w:cs="Arial"/>
        </w:rPr>
        <w:t>“</w:t>
      </w:r>
      <w:r w:rsidR="009260F1" w:rsidRPr="009260F1">
        <w:rPr>
          <w:rFonts w:ascii="Arial" w:hAnsi="Arial" w:cs="Arial"/>
        </w:rPr>
        <w:t xml:space="preserve"> NYSBA</w:t>
      </w:r>
      <w:r w:rsidR="009260F1">
        <w:rPr>
          <w:rFonts w:ascii="Arial" w:hAnsi="Arial" w:cs="Arial"/>
        </w:rPr>
        <w:t>”</w:t>
      </w:r>
      <w:r w:rsidR="009260F1" w:rsidRPr="009260F1">
        <w:rPr>
          <w:rFonts w:ascii="Arial" w:hAnsi="Arial" w:cs="Arial"/>
        </w:rPr>
        <w:t xml:space="preserve">) commented </w:t>
      </w:r>
      <w:r w:rsidR="00A3253B">
        <w:rPr>
          <w:rFonts w:ascii="Arial" w:hAnsi="Arial" w:cs="Arial"/>
        </w:rPr>
        <w:t>about</w:t>
      </w:r>
      <w:r w:rsidR="009260F1" w:rsidRPr="009260F1">
        <w:rPr>
          <w:rFonts w:ascii="Arial" w:hAnsi="Arial" w:cs="Arial"/>
        </w:rPr>
        <w:t xml:space="preserve"> the then</w:t>
      </w:r>
      <w:r w:rsidR="00A3253B">
        <w:rPr>
          <w:rFonts w:ascii="Arial" w:hAnsi="Arial" w:cs="Arial"/>
        </w:rPr>
        <w:t>-</w:t>
      </w:r>
      <w:r w:rsidR="009260F1" w:rsidRPr="009260F1">
        <w:rPr>
          <w:rFonts w:ascii="Arial" w:hAnsi="Arial" w:cs="Arial"/>
        </w:rPr>
        <w:t xml:space="preserve">proposed commercial division rule 202.20 that “ NYSBA continues to believe that the number of interrogatories should be limited only where the court has determined that the number is burdensome and unnecessary to the litigation, and that CPLR 3130 is already an adequate limitation on the use of interrogatories.” (See </w:t>
      </w:r>
    </w:p>
    <w:p w14:paraId="032B19D6" w14:textId="3921DF82" w:rsidR="009260F1" w:rsidRDefault="00A3253B" w:rsidP="009260F1">
      <w:pPr>
        <w:rPr>
          <w:rFonts w:ascii="Arial" w:hAnsi="Arial" w:cs="Arial"/>
          <w:color w:val="000000"/>
        </w:rPr>
      </w:pPr>
      <w:hyperlink r:id="rId9" w:history="1">
        <w:r w:rsidR="009260F1" w:rsidRPr="009260F1">
          <w:rPr>
            <w:rStyle w:val="Hyperlink"/>
            <w:rFonts w:ascii="Arial" w:eastAsiaTheme="majorEastAsia" w:hAnsi="Arial" w:cs="Arial"/>
          </w:rPr>
          <w:t>https://www.nycourts.gov/LegacyPDFS/rules/comments/pdf/received/Oct1UniformRules.pdf</w:t>
        </w:r>
      </w:hyperlink>
    </w:p>
    <w:p w14:paraId="13AED5DC" w14:textId="77777777" w:rsidR="009260F1" w:rsidRDefault="009260F1" w:rsidP="00CE2C2B">
      <w:pPr>
        <w:ind w:firstLine="720"/>
        <w:rPr>
          <w:rFonts w:ascii="Arial" w:hAnsi="Arial" w:cs="Arial"/>
          <w:color w:val="000000"/>
        </w:rPr>
      </w:pPr>
    </w:p>
    <w:p w14:paraId="0C59D6AC" w14:textId="10FF3161" w:rsidR="00CE2C2B" w:rsidRDefault="00A3253B" w:rsidP="00CE2C2B">
      <w:pPr>
        <w:ind w:firstLine="720"/>
      </w:pPr>
      <w:r>
        <w:rPr>
          <w:rFonts w:ascii="Arial" w:hAnsi="Arial" w:cs="Arial"/>
          <w:color w:val="000000"/>
        </w:rPr>
        <w:t>At that time t</w:t>
      </w:r>
      <w:r w:rsidR="00E85FF6">
        <w:rPr>
          <w:rFonts w:ascii="Arial" w:hAnsi="Arial" w:cs="Arial"/>
          <w:color w:val="000000"/>
        </w:rPr>
        <w:t xml:space="preserve">he </w:t>
      </w:r>
      <w:r w:rsidR="00E455E6" w:rsidRPr="00E455E6">
        <w:rPr>
          <w:rFonts w:ascii="Arial" w:hAnsi="Arial" w:cs="Arial"/>
        </w:rPr>
        <w:t xml:space="preserve">Matrimonial Practices Advisory and Rules Committee </w:t>
      </w:r>
      <w:r w:rsidR="002E3E20">
        <w:rPr>
          <w:rFonts w:ascii="Arial" w:hAnsi="Arial" w:cs="Arial"/>
        </w:rPr>
        <w:t xml:space="preserve">(“Committee”) </w:t>
      </w:r>
      <w:r w:rsidR="008D7261">
        <w:rPr>
          <w:rFonts w:ascii="Arial" w:hAnsi="Arial" w:cs="Arial"/>
        </w:rPr>
        <w:t xml:space="preserve">publicly commented </w:t>
      </w:r>
      <w:r w:rsidR="00E85FF6">
        <w:rPr>
          <w:rFonts w:ascii="Arial" w:hAnsi="Arial" w:cs="Arial"/>
        </w:rPr>
        <w:t xml:space="preserve">that </w:t>
      </w:r>
      <w:r w:rsidR="00992D52">
        <w:rPr>
          <w:rFonts w:ascii="Arial" w:hAnsi="Arial" w:cs="Arial"/>
        </w:rPr>
        <w:t xml:space="preserve">many of the </w:t>
      </w:r>
      <w:r w:rsidR="00E455E6" w:rsidRPr="00E455E6">
        <w:rPr>
          <w:rFonts w:ascii="Arial" w:hAnsi="Arial" w:cs="Arial"/>
        </w:rPr>
        <w:t xml:space="preserve">Commercial Division rules </w:t>
      </w:r>
      <w:r w:rsidR="008F1568">
        <w:rPr>
          <w:rFonts w:ascii="Arial" w:hAnsi="Arial" w:cs="Arial"/>
        </w:rPr>
        <w:t>were “</w:t>
      </w:r>
      <w:r w:rsidR="00E455E6" w:rsidRPr="00E455E6">
        <w:rPr>
          <w:rFonts w:ascii="Arial" w:hAnsi="Arial" w:cs="Arial"/>
        </w:rPr>
        <w:t>inapplicable and inappropriate in matrimonial litigation, and that matrimonial cases should continue to be governed by the provisions of 22 NYCRR Sections 202.16 and 202.16-a and 202.16-b.</w:t>
      </w:r>
      <w:r w:rsidR="008F1568">
        <w:rPr>
          <w:rFonts w:ascii="Arial" w:hAnsi="Arial" w:cs="Arial"/>
        </w:rPr>
        <w:t xml:space="preserve">” The </w:t>
      </w:r>
      <w:r w:rsidR="00992D52">
        <w:rPr>
          <w:rFonts w:ascii="Arial" w:hAnsi="Arial" w:cs="Arial"/>
        </w:rPr>
        <w:t>C</w:t>
      </w:r>
      <w:r w:rsidR="008F1568">
        <w:rPr>
          <w:rFonts w:ascii="Arial" w:hAnsi="Arial" w:cs="Arial"/>
        </w:rPr>
        <w:t xml:space="preserve">ommittee </w:t>
      </w:r>
      <w:r w:rsidR="008D7261">
        <w:rPr>
          <w:rFonts w:ascii="Arial" w:hAnsi="Arial" w:cs="Arial"/>
        </w:rPr>
        <w:t xml:space="preserve">wrote to the Administrative Board </w:t>
      </w:r>
      <w:r w:rsidR="00196403">
        <w:rPr>
          <w:rFonts w:ascii="Arial" w:hAnsi="Arial" w:cs="Arial"/>
        </w:rPr>
        <w:t xml:space="preserve">of the Courts </w:t>
      </w:r>
      <w:r w:rsidR="008439EA">
        <w:rPr>
          <w:rFonts w:ascii="Arial" w:hAnsi="Arial" w:cs="Arial"/>
        </w:rPr>
        <w:t>on December 11, 2018</w:t>
      </w:r>
      <w:r>
        <w:rPr>
          <w:rFonts w:ascii="Arial" w:hAnsi="Arial" w:cs="Arial"/>
        </w:rPr>
        <w:t>,</w:t>
      </w:r>
      <w:r w:rsidR="008439EA">
        <w:rPr>
          <w:rFonts w:ascii="Arial" w:hAnsi="Arial" w:cs="Arial"/>
        </w:rPr>
        <w:t xml:space="preserve"> </w:t>
      </w:r>
      <w:r w:rsidR="008D7261">
        <w:rPr>
          <w:rFonts w:ascii="Arial" w:hAnsi="Arial" w:cs="Arial"/>
        </w:rPr>
        <w:t xml:space="preserve">that </w:t>
      </w:r>
      <w:r w:rsidR="00992D52">
        <w:rPr>
          <w:rFonts w:ascii="Arial" w:hAnsi="Arial" w:cs="Arial"/>
        </w:rPr>
        <w:t>the l</w:t>
      </w:r>
      <w:r w:rsidR="00CD5ED2" w:rsidRPr="00CD5ED2">
        <w:rPr>
          <w:rFonts w:ascii="Arial" w:hAnsi="Arial" w:cs="Arial"/>
        </w:rPr>
        <w:t xml:space="preserve">imitations </w:t>
      </w:r>
      <w:r w:rsidR="00992D52">
        <w:rPr>
          <w:rFonts w:ascii="Arial" w:hAnsi="Arial" w:cs="Arial"/>
        </w:rPr>
        <w:t>“…</w:t>
      </w:r>
      <w:r w:rsidR="00CD5ED2" w:rsidRPr="00CD5ED2">
        <w:rPr>
          <w:rFonts w:ascii="Arial" w:hAnsi="Arial" w:cs="Arial"/>
        </w:rPr>
        <w:t xml:space="preserve"> are contrary to the fundamental principles of broad discovery in matrimonial actions governed by DRL Section 236(B)(4), where the goal is</w:t>
      </w:r>
      <w:r w:rsidR="008F1568">
        <w:rPr>
          <w:rFonts w:ascii="Arial" w:hAnsi="Arial" w:cs="Arial"/>
        </w:rPr>
        <w:t xml:space="preserve"> </w:t>
      </w:r>
      <w:r w:rsidR="00CD5ED2" w:rsidRPr="00CD5ED2">
        <w:rPr>
          <w:rFonts w:ascii="Arial" w:hAnsi="Arial" w:cs="Arial"/>
        </w:rPr>
        <w:t>to obtain as much information as possible about the parties' financial circumstances. Additionally, interrogatories are particularly important in cases with self-represented litigants who are better able to access</w:t>
      </w:r>
      <w:r w:rsidR="008F1568">
        <w:rPr>
          <w:rFonts w:ascii="Arial" w:hAnsi="Arial" w:cs="Arial"/>
        </w:rPr>
        <w:t xml:space="preserve"> </w:t>
      </w:r>
      <w:r w:rsidR="00CD5ED2" w:rsidRPr="00CD5ED2">
        <w:rPr>
          <w:rFonts w:ascii="Arial" w:hAnsi="Arial" w:cs="Arial"/>
        </w:rPr>
        <w:t xml:space="preserve">this discovery tool because it is easier and less expensive. </w:t>
      </w:r>
      <w:r w:rsidR="00CD5ED2" w:rsidRPr="00CE2C2B">
        <w:rPr>
          <w:rFonts w:ascii="Arial" w:hAnsi="Arial" w:cs="Arial"/>
        </w:rPr>
        <w:t xml:space="preserve"> </w:t>
      </w:r>
      <w:r w:rsidR="008F1568" w:rsidRPr="00CE2C2B">
        <w:rPr>
          <w:rFonts w:ascii="Arial" w:hAnsi="Arial" w:cs="Arial"/>
        </w:rPr>
        <w:t xml:space="preserve"> </w:t>
      </w:r>
      <w:r w:rsidR="00992D52">
        <w:rPr>
          <w:rFonts w:ascii="Arial" w:hAnsi="Arial" w:cs="Arial"/>
        </w:rPr>
        <w:t>…</w:t>
      </w:r>
      <w:r w:rsidR="00CE2C2B" w:rsidRPr="00CE2C2B">
        <w:rPr>
          <w:rFonts w:ascii="Arial" w:hAnsi="Arial" w:cs="Arial"/>
        </w:rPr>
        <w:t xml:space="preserve"> A limitation on depositions would lead to longer trials and fewer settlements. Certainly, t</w:t>
      </w:r>
      <w:r w:rsidR="00992D52">
        <w:rPr>
          <w:rFonts w:ascii="Arial" w:hAnsi="Arial" w:cs="Arial"/>
        </w:rPr>
        <w:t xml:space="preserve">rial </w:t>
      </w:r>
      <w:r w:rsidR="00CE2C2B" w:rsidRPr="00CE2C2B">
        <w:rPr>
          <w:rFonts w:ascii="Arial" w:hAnsi="Arial" w:cs="Arial"/>
        </w:rPr>
        <w:t xml:space="preserve"> judges should have the right to limit discovery if it is</w:t>
      </w:r>
      <w:r w:rsidR="00992D52">
        <w:rPr>
          <w:rFonts w:ascii="Arial" w:hAnsi="Arial" w:cs="Arial"/>
        </w:rPr>
        <w:t xml:space="preserve"> </w:t>
      </w:r>
      <w:r w:rsidR="00CE2C2B" w:rsidRPr="00CE2C2B">
        <w:rPr>
          <w:rFonts w:ascii="Arial" w:hAnsi="Arial" w:cs="Arial"/>
        </w:rPr>
        <w:t>a fishing expedition, and for the most part,</w:t>
      </w:r>
      <w:r w:rsidR="00992D52">
        <w:rPr>
          <w:rFonts w:ascii="Arial" w:hAnsi="Arial" w:cs="Arial"/>
        </w:rPr>
        <w:t xml:space="preserve"> </w:t>
      </w:r>
      <w:r w:rsidR="00CE2C2B" w:rsidRPr="00CE2C2B">
        <w:rPr>
          <w:rFonts w:ascii="Arial" w:hAnsi="Arial" w:cs="Arial"/>
        </w:rPr>
        <w:t>that has been successful.</w:t>
      </w:r>
      <w:r w:rsidR="002E3E20">
        <w:rPr>
          <w:rFonts w:ascii="Arial" w:hAnsi="Arial" w:cs="Arial"/>
        </w:rPr>
        <w:t>”</w:t>
      </w:r>
    </w:p>
    <w:p w14:paraId="139359C3" w14:textId="6D8D364F" w:rsidR="00CD5ED2" w:rsidRDefault="00CD5ED2" w:rsidP="00992D52">
      <w:pPr>
        <w:rPr>
          <w:rFonts w:ascii="Arial" w:hAnsi="Arial" w:cs="Arial"/>
        </w:rPr>
      </w:pPr>
      <w:r w:rsidRPr="00CD5ED2">
        <w:rPr>
          <w:rFonts w:ascii="Arial" w:hAnsi="Arial" w:cs="Arial"/>
        </w:rPr>
        <w:t>(</w:t>
      </w:r>
      <w:r w:rsidR="008F1568">
        <w:rPr>
          <w:rFonts w:ascii="Arial" w:hAnsi="Arial" w:cs="Arial"/>
        </w:rPr>
        <w:t xml:space="preserve">See </w:t>
      </w:r>
      <w:hyperlink r:id="rId10" w:history="1">
        <w:r w:rsidR="008F1568" w:rsidRPr="008C00CA">
          <w:rPr>
            <w:rStyle w:val="Hyperlink"/>
            <w:rFonts w:ascii="Arial" w:hAnsi="Arial" w:cs="Arial"/>
          </w:rPr>
          <w:t>https://www.nycourts.gov/LegacyPDFS/rules/comments/pdf/received/2019-com-rules-in-other-jdx.pdf</w:t>
        </w:r>
      </w:hyperlink>
      <w:r w:rsidR="008F1568">
        <w:rPr>
          <w:rFonts w:ascii="Arial" w:hAnsi="Arial" w:cs="Arial"/>
        </w:rPr>
        <w:t xml:space="preserve">) </w:t>
      </w:r>
    </w:p>
    <w:p w14:paraId="296D0F24" w14:textId="4D532DBE" w:rsidR="008F1568" w:rsidRDefault="008F1568" w:rsidP="008F1568">
      <w:pPr>
        <w:ind w:firstLine="720"/>
        <w:rPr>
          <w:rFonts w:ascii="Arial" w:hAnsi="Arial" w:cs="Arial"/>
        </w:rPr>
      </w:pPr>
    </w:p>
    <w:p w14:paraId="1942A444" w14:textId="14CC74F6" w:rsidR="00F02D96" w:rsidRPr="00D05130" w:rsidRDefault="0085328F" w:rsidP="00D05130">
      <w:pPr>
        <w:ind w:firstLine="720"/>
        <w:rPr>
          <w:rFonts w:ascii="Arial" w:hAnsi="Arial" w:cs="Arial"/>
        </w:rPr>
      </w:pPr>
      <w:r w:rsidRPr="00717E93">
        <w:rPr>
          <w:rFonts w:ascii="Arial" w:hAnsi="Arial" w:cs="Arial"/>
        </w:rPr>
        <w:t xml:space="preserve">In a subsequent letter to the Administrative Board on October 26, 2021, in </w:t>
      </w:r>
      <w:r w:rsidRPr="00717E93">
        <w:rPr>
          <w:rFonts w:ascii="Arial" w:hAnsi="Arial" w:cs="Arial"/>
        </w:rPr>
        <w:lastRenderedPageBreak/>
        <w:t xml:space="preserve">response to </w:t>
      </w:r>
      <w:r w:rsidR="00A3253B">
        <w:rPr>
          <w:rFonts w:ascii="Arial" w:hAnsi="Arial" w:cs="Arial"/>
        </w:rPr>
        <w:t xml:space="preserve">the </w:t>
      </w:r>
      <w:r w:rsidRPr="00717E93">
        <w:rPr>
          <w:rFonts w:ascii="Arial" w:eastAsiaTheme="minorHAnsi" w:hAnsi="Arial" w:cs="Arial"/>
        </w:rPr>
        <w:t>Request for Public Comment on a</w:t>
      </w:r>
      <w:r w:rsidR="00717E93">
        <w:rPr>
          <w:rFonts w:ascii="Arial" w:eastAsiaTheme="minorHAnsi" w:hAnsi="Arial" w:cs="Arial"/>
        </w:rPr>
        <w:t xml:space="preserve"> </w:t>
      </w:r>
      <w:r w:rsidR="00196403">
        <w:rPr>
          <w:rFonts w:ascii="Arial" w:eastAsiaTheme="minorHAnsi" w:hAnsi="Arial" w:cs="Arial"/>
        </w:rPr>
        <w:t>p</w:t>
      </w:r>
      <w:r w:rsidRPr="00717E93">
        <w:rPr>
          <w:rFonts w:ascii="Arial" w:eastAsiaTheme="minorHAnsi" w:hAnsi="Arial" w:cs="Arial"/>
        </w:rPr>
        <w:t xml:space="preserve">roposal to </w:t>
      </w:r>
      <w:r w:rsidR="00196403">
        <w:rPr>
          <w:rFonts w:ascii="Arial" w:eastAsiaTheme="minorHAnsi" w:hAnsi="Arial" w:cs="Arial"/>
        </w:rPr>
        <w:t>h</w:t>
      </w:r>
      <w:r w:rsidRPr="00717E93">
        <w:rPr>
          <w:rFonts w:ascii="Arial" w:eastAsiaTheme="minorHAnsi" w:hAnsi="Arial" w:cs="Arial"/>
        </w:rPr>
        <w:t xml:space="preserve">armonize </w:t>
      </w:r>
      <w:r w:rsidR="00196403">
        <w:rPr>
          <w:rFonts w:ascii="Arial" w:eastAsiaTheme="minorHAnsi" w:hAnsi="Arial" w:cs="Arial"/>
        </w:rPr>
        <w:t>the m</w:t>
      </w:r>
      <w:r w:rsidRPr="00717E93">
        <w:rPr>
          <w:rFonts w:ascii="Arial" w:eastAsiaTheme="minorHAnsi" w:hAnsi="Arial" w:cs="Arial"/>
        </w:rPr>
        <w:t xml:space="preserve">atrimonial </w:t>
      </w:r>
      <w:r w:rsidR="00196403">
        <w:rPr>
          <w:rFonts w:ascii="Arial" w:eastAsiaTheme="minorHAnsi" w:hAnsi="Arial" w:cs="Arial"/>
        </w:rPr>
        <w:t>r</w:t>
      </w:r>
      <w:r w:rsidRPr="00717E93">
        <w:rPr>
          <w:rFonts w:ascii="Arial" w:eastAsiaTheme="minorHAnsi" w:hAnsi="Arial" w:cs="Arial"/>
        </w:rPr>
        <w:t xml:space="preserve">ules with </w:t>
      </w:r>
      <w:r w:rsidR="00196403">
        <w:rPr>
          <w:rFonts w:ascii="Arial" w:eastAsiaTheme="minorHAnsi" w:hAnsi="Arial" w:cs="Arial"/>
        </w:rPr>
        <w:t xml:space="preserve">the </w:t>
      </w:r>
      <w:r w:rsidRPr="00717E93">
        <w:rPr>
          <w:rFonts w:ascii="Arial" w:eastAsiaTheme="minorHAnsi" w:hAnsi="Arial" w:cs="Arial"/>
        </w:rPr>
        <w:t>new Uniform Civil Rules</w:t>
      </w:r>
      <w:r w:rsidR="00A3253B">
        <w:rPr>
          <w:rFonts w:ascii="Arial" w:eastAsiaTheme="minorHAnsi" w:hAnsi="Arial" w:cs="Arial"/>
        </w:rPr>
        <w:t>,</w:t>
      </w:r>
      <w:r w:rsidRPr="00717E93">
        <w:rPr>
          <w:rFonts w:ascii="Arial" w:eastAsiaTheme="minorHAnsi" w:hAnsi="Arial" w:cs="Arial"/>
        </w:rPr>
        <w:t xml:space="preserve"> the Committee submitted </w:t>
      </w:r>
      <w:r w:rsidR="00717E93">
        <w:rPr>
          <w:rFonts w:ascii="Arial" w:eastAsiaTheme="minorHAnsi" w:hAnsi="Arial" w:cs="Arial"/>
        </w:rPr>
        <w:t xml:space="preserve">a proposal </w:t>
      </w:r>
      <w:r w:rsidR="006A7A21">
        <w:rPr>
          <w:rFonts w:ascii="Arial" w:eastAsiaTheme="minorHAnsi" w:hAnsi="Arial" w:cs="Arial"/>
        </w:rPr>
        <w:t>for 22 NYCRR 202.16 (f)(</w:t>
      </w:r>
      <w:r w:rsidR="006A7A21" w:rsidRPr="00717E93">
        <w:rPr>
          <w:rFonts w:ascii="Arial" w:eastAsiaTheme="minorHAnsi" w:hAnsi="Arial" w:cs="Arial"/>
        </w:rPr>
        <w:t>(ii)</w:t>
      </w:r>
      <w:r w:rsidR="006A7A21">
        <w:rPr>
          <w:rFonts w:ascii="Arial" w:eastAsiaTheme="minorHAnsi" w:hAnsi="Arial" w:cs="Arial"/>
        </w:rPr>
        <w:t xml:space="preserve"> </w:t>
      </w:r>
      <w:r w:rsidR="00717E93">
        <w:rPr>
          <w:rFonts w:ascii="Arial" w:eastAsiaTheme="minorHAnsi" w:hAnsi="Arial" w:cs="Arial"/>
        </w:rPr>
        <w:t>which</w:t>
      </w:r>
      <w:r w:rsidRPr="00717E93">
        <w:rPr>
          <w:rFonts w:ascii="Arial" w:eastAsiaTheme="minorHAnsi" w:hAnsi="Arial" w:cs="Arial"/>
        </w:rPr>
        <w:t xml:space="preserve"> contained no </w:t>
      </w:r>
      <w:r w:rsidR="00A3253B">
        <w:rPr>
          <w:rFonts w:ascii="Arial" w:eastAsiaTheme="minorHAnsi" w:hAnsi="Arial" w:cs="Arial"/>
        </w:rPr>
        <w:t>l</w:t>
      </w:r>
      <w:r w:rsidRPr="00717E93">
        <w:rPr>
          <w:rFonts w:ascii="Arial" w:eastAsiaTheme="minorHAnsi" w:hAnsi="Arial" w:cs="Arial"/>
        </w:rPr>
        <w:t>imitation on the number and length of depositions and the number of interrogatories.</w:t>
      </w:r>
      <w:r w:rsidR="00DE43D7" w:rsidRPr="00DE43D7">
        <w:rPr>
          <w:rFonts w:ascii="Arial" w:hAnsi="Arial" w:cs="Arial"/>
        </w:rPr>
        <w:t xml:space="preserve"> </w:t>
      </w:r>
      <w:r w:rsidR="00196403">
        <w:rPr>
          <w:rFonts w:ascii="Arial" w:hAnsi="Arial" w:cs="Arial"/>
        </w:rPr>
        <w:t xml:space="preserve">(See </w:t>
      </w:r>
      <w:hyperlink r:id="rId11" w:history="1">
        <w:r w:rsidR="00196403" w:rsidRPr="009C519F">
          <w:rPr>
            <w:rStyle w:val="Hyperlink"/>
            <w:rFonts w:ascii="Arial" w:hAnsi="Arial" w:cs="Arial"/>
          </w:rPr>
          <w:t>https://www.nycourts.gov/LegacyPDFS/rules/comments/pdf/Proposed-amendments-to-Matrimonial-and-Uniform-Civil-Rules.pdf</w:t>
        </w:r>
      </w:hyperlink>
      <w:r w:rsidR="00A3253B">
        <w:t>,</w:t>
      </w:r>
      <w:r w:rsidR="00111167">
        <w:t xml:space="preserve">  </w:t>
      </w:r>
      <w:r w:rsidR="00111167" w:rsidRPr="00196403">
        <w:rPr>
          <w:rFonts w:ascii="Arial" w:hAnsi="Arial" w:cs="Arial"/>
        </w:rPr>
        <w:t>Exh</w:t>
      </w:r>
      <w:r w:rsidR="00196403" w:rsidRPr="00196403">
        <w:rPr>
          <w:rFonts w:ascii="Arial" w:hAnsi="Arial" w:cs="Arial"/>
        </w:rPr>
        <w:t xml:space="preserve">ibit </w:t>
      </w:r>
      <w:r w:rsidR="00111167" w:rsidRPr="00196403">
        <w:rPr>
          <w:rFonts w:ascii="Arial" w:hAnsi="Arial" w:cs="Arial"/>
        </w:rPr>
        <w:t>A</w:t>
      </w:r>
      <w:r w:rsidR="00196403" w:rsidRPr="00196403">
        <w:rPr>
          <w:rFonts w:ascii="Arial" w:hAnsi="Arial" w:cs="Arial"/>
        </w:rPr>
        <w:t xml:space="preserve">, </w:t>
      </w:r>
      <w:r w:rsidR="00111167" w:rsidRPr="00196403">
        <w:rPr>
          <w:rFonts w:ascii="Arial" w:hAnsi="Arial" w:cs="Arial"/>
        </w:rPr>
        <w:t>letter dated April 23, 2021</w:t>
      </w:r>
      <w:r w:rsidR="00196403">
        <w:rPr>
          <w:rFonts w:ascii="Arial" w:hAnsi="Arial" w:cs="Arial"/>
        </w:rPr>
        <w:t>)</w:t>
      </w:r>
      <w:r w:rsidR="00A3253B">
        <w:rPr>
          <w:rFonts w:ascii="Arial" w:hAnsi="Arial" w:cs="Arial"/>
        </w:rPr>
        <w:t xml:space="preserve">. </w:t>
      </w:r>
      <w:r w:rsidR="00D05130">
        <w:rPr>
          <w:rFonts w:ascii="Arial" w:hAnsi="Arial" w:cs="Arial"/>
        </w:rPr>
        <w:t xml:space="preserve">  </w:t>
      </w:r>
      <w:r w:rsidR="00F02D96">
        <w:rPr>
          <w:rFonts w:ascii="Arial" w:eastAsiaTheme="minorHAnsi" w:hAnsi="Arial" w:cs="Arial"/>
        </w:rPr>
        <w:t>And on December 13, 2021</w:t>
      </w:r>
      <w:r w:rsidR="00A3253B">
        <w:rPr>
          <w:rFonts w:ascii="Arial" w:eastAsiaTheme="minorHAnsi" w:hAnsi="Arial" w:cs="Arial"/>
        </w:rPr>
        <w:t>,</w:t>
      </w:r>
      <w:r w:rsidR="00F02D96">
        <w:rPr>
          <w:rFonts w:ascii="Arial" w:eastAsiaTheme="minorHAnsi" w:hAnsi="Arial" w:cs="Arial"/>
        </w:rPr>
        <w:t xml:space="preserve"> </w:t>
      </w:r>
      <w:r w:rsidR="00952AB7">
        <w:rPr>
          <w:rFonts w:ascii="Arial" w:eastAsiaTheme="minorHAnsi" w:hAnsi="Arial" w:cs="Arial"/>
        </w:rPr>
        <w:t>in response to a</w:t>
      </w:r>
      <w:r w:rsidR="006A7A21">
        <w:rPr>
          <w:rFonts w:ascii="Arial" w:eastAsiaTheme="minorHAnsi" w:hAnsi="Arial" w:cs="Arial"/>
        </w:rPr>
        <w:t>nother</w:t>
      </w:r>
      <w:r w:rsidR="00952AB7">
        <w:rPr>
          <w:rFonts w:ascii="Arial" w:eastAsiaTheme="minorHAnsi" w:hAnsi="Arial" w:cs="Arial"/>
        </w:rPr>
        <w:t xml:space="preserve"> request for public comment</w:t>
      </w:r>
      <w:r w:rsidR="00A3253B">
        <w:rPr>
          <w:rFonts w:ascii="Arial" w:eastAsiaTheme="minorHAnsi" w:hAnsi="Arial" w:cs="Arial"/>
        </w:rPr>
        <w:t>,</w:t>
      </w:r>
      <w:r w:rsidR="00952AB7">
        <w:rPr>
          <w:rFonts w:ascii="Arial" w:eastAsiaTheme="minorHAnsi" w:hAnsi="Arial" w:cs="Arial"/>
        </w:rPr>
        <w:t xml:space="preserve"> </w:t>
      </w:r>
      <w:r w:rsidR="00196403">
        <w:rPr>
          <w:rFonts w:ascii="Arial" w:eastAsiaTheme="minorHAnsi" w:hAnsi="Arial" w:cs="Arial"/>
        </w:rPr>
        <w:t xml:space="preserve">the Committee </w:t>
      </w:r>
      <w:r w:rsidR="00F02D96">
        <w:rPr>
          <w:rFonts w:ascii="Arial" w:eastAsiaTheme="minorHAnsi" w:hAnsi="Arial" w:cs="Arial"/>
        </w:rPr>
        <w:t>requested consideration of its harmonization document</w:t>
      </w:r>
      <w:r w:rsidR="00952AB7">
        <w:rPr>
          <w:rFonts w:ascii="Arial" w:eastAsiaTheme="minorHAnsi" w:hAnsi="Arial" w:cs="Arial"/>
        </w:rPr>
        <w:t xml:space="preserve"> of October 26, 2021</w:t>
      </w:r>
      <w:r w:rsidR="006A7A21">
        <w:rPr>
          <w:rFonts w:ascii="Arial" w:eastAsiaTheme="minorHAnsi" w:hAnsi="Arial" w:cs="Arial"/>
        </w:rPr>
        <w:t>, which contained no limi</w:t>
      </w:r>
      <w:r w:rsidR="00196403">
        <w:rPr>
          <w:rFonts w:ascii="Arial" w:eastAsiaTheme="minorHAnsi" w:hAnsi="Arial" w:cs="Arial"/>
        </w:rPr>
        <w:t>tat</w:t>
      </w:r>
      <w:r w:rsidR="006A7A21">
        <w:rPr>
          <w:rFonts w:ascii="Arial" w:eastAsiaTheme="minorHAnsi" w:hAnsi="Arial" w:cs="Arial"/>
        </w:rPr>
        <w:t>ions</w:t>
      </w:r>
      <w:r w:rsidR="00F02D96">
        <w:rPr>
          <w:rFonts w:ascii="Arial" w:eastAsiaTheme="minorHAnsi" w:hAnsi="Arial" w:cs="Arial"/>
        </w:rPr>
        <w:t>.</w:t>
      </w:r>
      <w:r w:rsidR="00A3253B">
        <w:rPr>
          <w:rFonts w:ascii="Arial" w:eastAsiaTheme="minorHAnsi" w:hAnsi="Arial" w:cs="Arial"/>
        </w:rPr>
        <w:t xml:space="preserve"> </w:t>
      </w:r>
      <w:r w:rsidR="00D05130">
        <w:rPr>
          <w:rFonts w:ascii="Arial" w:eastAsiaTheme="minorHAnsi" w:hAnsi="Arial" w:cs="Arial"/>
        </w:rPr>
        <w:t>(</w:t>
      </w:r>
      <w:r w:rsidR="00F02D96">
        <w:rPr>
          <w:rFonts w:ascii="Arial" w:eastAsiaTheme="minorHAnsi" w:hAnsi="Arial" w:cs="Arial"/>
        </w:rPr>
        <w:t xml:space="preserve"> See </w:t>
      </w:r>
      <w:hyperlink r:id="rId12" w:history="1">
        <w:r w:rsidR="00F02D96" w:rsidRPr="00442CE0">
          <w:rPr>
            <w:rStyle w:val="Hyperlink"/>
            <w:rFonts w:ascii="Arial" w:eastAsiaTheme="minorHAnsi" w:hAnsi="Arial" w:cs="Arial"/>
          </w:rPr>
          <w:t>https://www.nycourts.gov/LegacyPDFS/rules/comments/pdf/received/Matrimonial.pdf</w:t>
        </w:r>
      </w:hyperlink>
      <w:r w:rsidR="00D05130">
        <w:rPr>
          <w:rStyle w:val="Hyperlink"/>
          <w:rFonts w:ascii="Arial" w:eastAsiaTheme="minorHAnsi" w:hAnsi="Arial" w:cs="Arial"/>
        </w:rPr>
        <w:t>)</w:t>
      </w:r>
    </w:p>
    <w:p w14:paraId="0D896DC6" w14:textId="77777777" w:rsidR="00F02D96" w:rsidRPr="00717E93" w:rsidRDefault="00F02D96" w:rsidP="00717E93">
      <w:pPr>
        <w:widowControl/>
        <w:ind w:firstLine="720"/>
        <w:rPr>
          <w:rFonts w:ascii="Arial" w:eastAsiaTheme="minorHAnsi" w:hAnsi="Arial" w:cs="Arial"/>
        </w:rPr>
      </w:pPr>
    </w:p>
    <w:p w14:paraId="461BED9A" w14:textId="07C8F616" w:rsidR="005349EF" w:rsidRPr="005349EF" w:rsidRDefault="008439EA" w:rsidP="005349EF">
      <w:pPr>
        <w:pStyle w:val="FootnoteText"/>
        <w:ind w:firstLine="720"/>
        <w:rPr>
          <w:rFonts w:ascii="Arial" w:hAnsi="Arial" w:cs="Arial"/>
          <w:color w:val="0E568C"/>
          <w:sz w:val="24"/>
          <w:szCs w:val="24"/>
        </w:rPr>
      </w:pPr>
      <w:r>
        <w:rPr>
          <w:rFonts w:ascii="Arial" w:hAnsi="Arial" w:cs="Arial"/>
          <w:sz w:val="24"/>
          <w:szCs w:val="24"/>
        </w:rPr>
        <w:t>T</w:t>
      </w:r>
      <w:r w:rsidR="00992D52" w:rsidRPr="005349EF">
        <w:rPr>
          <w:rFonts w:ascii="Arial" w:hAnsi="Arial" w:cs="Arial"/>
          <w:sz w:val="24"/>
          <w:szCs w:val="24"/>
        </w:rPr>
        <w:t xml:space="preserve">he Administrative Board </w:t>
      </w:r>
      <w:r w:rsidR="00A3253B">
        <w:rPr>
          <w:rFonts w:ascii="Arial" w:hAnsi="Arial" w:cs="Arial"/>
          <w:sz w:val="24"/>
          <w:szCs w:val="24"/>
        </w:rPr>
        <w:t xml:space="preserve">of the Courts </w:t>
      </w:r>
      <w:r w:rsidR="00992D52" w:rsidRPr="005349EF">
        <w:rPr>
          <w:rFonts w:ascii="Arial" w:hAnsi="Arial" w:cs="Arial"/>
          <w:sz w:val="24"/>
          <w:szCs w:val="24"/>
        </w:rPr>
        <w:t xml:space="preserve">acted </w:t>
      </w:r>
      <w:r w:rsidR="002E3E20" w:rsidRPr="005349EF">
        <w:rPr>
          <w:rFonts w:ascii="Arial" w:hAnsi="Arial" w:cs="Arial"/>
          <w:sz w:val="24"/>
          <w:szCs w:val="24"/>
        </w:rPr>
        <w:t xml:space="preserve">favorably on the Committee’s </w:t>
      </w:r>
      <w:r w:rsidR="00992D52" w:rsidRPr="005349EF">
        <w:rPr>
          <w:rFonts w:ascii="Arial" w:hAnsi="Arial" w:cs="Arial"/>
          <w:sz w:val="24"/>
          <w:szCs w:val="24"/>
        </w:rPr>
        <w:t xml:space="preserve">comment that depositions </w:t>
      </w:r>
      <w:r w:rsidR="008D7261" w:rsidRPr="005349EF">
        <w:rPr>
          <w:rFonts w:ascii="Arial" w:hAnsi="Arial" w:cs="Arial"/>
          <w:sz w:val="24"/>
          <w:szCs w:val="24"/>
        </w:rPr>
        <w:t>s</w:t>
      </w:r>
      <w:r w:rsidR="00992D52" w:rsidRPr="005349EF">
        <w:rPr>
          <w:rFonts w:ascii="Arial" w:hAnsi="Arial" w:cs="Arial"/>
          <w:sz w:val="24"/>
          <w:szCs w:val="24"/>
        </w:rPr>
        <w:t xml:space="preserve">hould not be limited in matrimonial actions, and </w:t>
      </w:r>
      <w:r w:rsidR="002E3E20" w:rsidRPr="005349EF">
        <w:rPr>
          <w:rFonts w:ascii="Arial" w:hAnsi="Arial" w:cs="Arial"/>
          <w:sz w:val="24"/>
          <w:szCs w:val="24"/>
        </w:rPr>
        <w:t>the matrimonial rules specifically provide that the limit on the number of deposition</w:t>
      </w:r>
      <w:r w:rsidR="0067156A">
        <w:rPr>
          <w:rFonts w:ascii="Arial" w:hAnsi="Arial" w:cs="Arial"/>
          <w:sz w:val="24"/>
          <w:szCs w:val="24"/>
        </w:rPr>
        <w:t>s</w:t>
      </w:r>
      <w:r w:rsidR="002E3E20" w:rsidRPr="005349EF">
        <w:rPr>
          <w:rFonts w:ascii="Arial" w:hAnsi="Arial" w:cs="Arial"/>
          <w:sz w:val="24"/>
          <w:szCs w:val="24"/>
        </w:rPr>
        <w:t xml:space="preserve"> “</w:t>
      </w:r>
      <w:r w:rsidR="00C06FAB" w:rsidRPr="005349EF">
        <w:rPr>
          <w:rFonts w:ascii="Arial" w:hAnsi="Arial" w:cs="Arial"/>
          <w:color w:val="262626"/>
          <w:sz w:val="24"/>
          <w:szCs w:val="24"/>
          <w:shd w:val="clear" w:color="auto" w:fill="FFFFFF"/>
        </w:rPr>
        <w:t>shall not apply to matrimonial actions.</w:t>
      </w:r>
      <w:r w:rsidR="00992D52" w:rsidRPr="005349EF">
        <w:rPr>
          <w:rFonts w:ascii="Arial" w:hAnsi="Arial" w:cs="Arial"/>
          <w:color w:val="262626"/>
          <w:sz w:val="24"/>
          <w:szCs w:val="24"/>
          <w:shd w:val="clear" w:color="auto" w:fill="FFFFFF"/>
        </w:rPr>
        <w:t xml:space="preserve">”  </w:t>
      </w:r>
      <w:r w:rsidR="002E3E20" w:rsidRPr="005349EF">
        <w:rPr>
          <w:rFonts w:ascii="Arial" w:hAnsi="Arial" w:cs="Arial"/>
          <w:color w:val="262626"/>
          <w:sz w:val="24"/>
          <w:szCs w:val="24"/>
          <w:shd w:val="clear" w:color="auto" w:fill="FFFFFF"/>
        </w:rPr>
        <w:t xml:space="preserve">(See </w:t>
      </w:r>
      <w:r w:rsidR="002E3E20" w:rsidRPr="005349EF">
        <w:rPr>
          <w:rFonts w:ascii="Arial" w:hAnsi="Arial" w:cs="Arial"/>
          <w:sz w:val="24"/>
          <w:szCs w:val="24"/>
        </w:rPr>
        <w:t xml:space="preserve">202.16 (f) (2) (ii)). </w:t>
      </w:r>
      <w:r w:rsidR="00992D52" w:rsidRPr="005349EF">
        <w:rPr>
          <w:rFonts w:ascii="Arial" w:hAnsi="Arial" w:cs="Arial"/>
          <w:color w:val="262626"/>
          <w:sz w:val="24"/>
          <w:szCs w:val="24"/>
          <w:shd w:val="clear" w:color="auto" w:fill="FFFFFF"/>
        </w:rPr>
        <w:t xml:space="preserve">However, it </w:t>
      </w:r>
      <w:r w:rsidR="00196403">
        <w:rPr>
          <w:rFonts w:ascii="Arial" w:hAnsi="Arial" w:cs="Arial"/>
          <w:color w:val="262626"/>
          <w:sz w:val="24"/>
          <w:szCs w:val="24"/>
          <w:shd w:val="clear" w:color="auto" w:fill="FFFFFF"/>
        </w:rPr>
        <w:t xml:space="preserve">failed to act on </w:t>
      </w:r>
      <w:r w:rsidR="002E3E20" w:rsidRPr="005349EF">
        <w:rPr>
          <w:rFonts w:ascii="Arial" w:hAnsi="Arial" w:cs="Arial"/>
          <w:color w:val="262626"/>
          <w:sz w:val="24"/>
          <w:szCs w:val="24"/>
          <w:shd w:val="clear" w:color="auto" w:fill="FFFFFF"/>
        </w:rPr>
        <w:t xml:space="preserve">the </w:t>
      </w:r>
      <w:r w:rsidR="00952AB7">
        <w:rPr>
          <w:rFonts w:ascii="Arial" w:hAnsi="Arial" w:cs="Arial"/>
          <w:color w:val="262626"/>
          <w:sz w:val="24"/>
          <w:szCs w:val="24"/>
          <w:shd w:val="clear" w:color="auto" w:fill="FFFFFF"/>
        </w:rPr>
        <w:t>C</w:t>
      </w:r>
      <w:r w:rsidR="002E3E20" w:rsidRPr="005349EF">
        <w:rPr>
          <w:rFonts w:ascii="Arial" w:hAnsi="Arial" w:cs="Arial"/>
          <w:color w:val="262626"/>
          <w:sz w:val="24"/>
          <w:szCs w:val="24"/>
          <w:shd w:val="clear" w:color="auto" w:fill="FFFFFF"/>
        </w:rPr>
        <w:t xml:space="preserve">omment that the limit on </w:t>
      </w:r>
      <w:r w:rsidR="00992D52" w:rsidRPr="005349EF">
        <w:rPr>
          <w:rFonts w:ascii="Arial" w:hAnsi="Arial" w:cs="Arial"/>
          <w:color w:val="262626"/>
          <w:sz w:val="24"/>
          <w:szCs w:val="24"/>
          <w:shd w:val="clear" w:color="auto" w:fill="FFFFFF"/>
        </w:rPr>
        <w:t>interrogatories</w:t>
      </w:r>
      <w:r w:rsidR="002E3E20" w:rsidRPr="005349EF">
        <w:rPr>
          <w:rFonts w:ascii="Arial" w:hAnsi="Arial" w:cs="Arial"/>
          <w:color w:val="262626"/>
          <w:sz w:val="24"/>
          <w:szCs w:val="24"/>
          <w:shd w:val="clear" w:color="auto" w:fill="FFFFFF"/>
        </w:rPr>
        <w:t xml:space="preserve"> “was </w:t>
      </w:r>
      <w:r w:rsidR="002E3E20" w:rsidRPr="005349EF">
        <w:rPr>
          <w:rFonts w:ascii="Arial" w:hAnsi="Arial" w:cs="Arial"/>
          <w:sz w:val="24"/>
          <w:szCs w:val="24"/>
        </w:rPr>
        <w:t xml:space="preserve">contrary to the fundamental principles of broad discovery in matrimonial actions governed by DRL Section 236(B)(4).” </w:t>
      </w:r>
    </w:p>
    <w:p w14:paraId="52CFE93D" w14:textId="77777777" w:rsidR="00952AB7" w:rsidRPr="000551A7" w:rsidRDefault="00952AB7" w:rsidP="00952AB7">
      <w:pPr>
        <w:ind w:left="2880"/>
        <w:rPr>
          <w:rFonts w:ascii="Arial" w:hAnsi="Arial" w:cs="Arial"/>
        </w:rPr>
      </w:pPr>
      <w:r>
        <w:rPr>
          <w:rFonts w:ascii="Arial" w:hAnsi="Arial" w:cs="Arial"/>
        </w:rPr>
        <w:t xml:space="preserve">Conclusion </w:t>
      </w:r>
    </w:p>
    <w:p w14:paraId="0F4845D3" w14:textId="38770224" w:rsidR="00C06FAB" w:rsidRPr="005349EF" w:rsidRDefault="00C06FAB" w:rsidP="008F1568">
      <w:pPr>
        <w:ind w:firstLine="720"/>
        <w:rPr>
          <w:rFonts w:ascii="Arial" w:hAnsi="Arial" w:cs="Arial"/>
          <w:color w:val="262626"/>
          <w:shd w:val="clear" w:color="auto" w:fill="FFFFFF"/>
        </w:rPr>
      </w:pPr>
    </w:p>
    <w:p w14:paraId="2754EA97" w14:textId="77777777" w:rsidR="00C06FAB" w:rsidRPr="005349EF" w:rsidRDefault="00C06FAB" w:rsidP="008F1568">
      <w:pPr>
        <w:ind w:firstLine="720"/>
        <w:rPr>
          <w:rFonts w:ascii="Arial" w:hAnsi="Arial" w:cs="Arial"/>
        </w:rPr>
      </w:pPr>
    </w:p>
    <w:p w14:paraId="1B9A40ED" w14:textId="1AE770F0" w:rsidR="008F1568" w:rsidRPr="00BA6288" w:rsidRDefault="008F1568" w:rsidP="008F1568">
      <w:pPr>
        <w:pStyle w:val="FootnoteText"/>
        <w:ind w:firstLine="720"/>
        <w:rPr>
          <w:rFonts w:ascii="Arial" w:hAnsi="Arial" w:cs="Arial"/>
          <w:color w:val="0E568C"/>
          <w:sz w:val="24"/>
          <w:szCs w:val="24"/>
        </w:rPr>
      </w:pPr>
      <w:r w:rsidRPr="00AB1B86">
        <w:rPr>
          <w:rFonts w:ascii="Arial" w:hAnsi="Arial" w:cs="Arial"/>
          <w:sz w:val="24"/>
          <w:szCs w:val="24"/>
        </w:rPr>
        <w:t>22 NYCRR  202.16 (f) (2) (ii)</w:t>
      </w:r>
      <w:r w:rsidRPr="00AB1B86">
        <w:rPr>
          <w:rFonts w:ascii="Arial" w:hAnsi="Arial" w:cs="Arial"/>
          <w:color w:val="000000"/>
          <w:sz w:val="24"/>
          <w:szCs w:val="24"/>
        </w:rPr>
        <w:t>,</w:t>
      </w:r>
      <w:r w:rsidRPr="00AC43CA">
        <w:rPr>
          <w:rFonts w:ascii="Arial" w:hAnsi="Arial" w:cs="Arial"/>
          <w:color w:val="000000"/>
          <w:sz w:val="24"/>
          <w:szCs w:val="24"/>
        </w:rPr>
        <w:t xml:space="preserve"> limiting interrogatories to 25 in number in matrimonial actions</w:t>
      </w:r>
      <w:r w:rsidR="002E3E20">
        <w:rPr>
          <w:rFonts w:ascii="Arial" w:hAnsi="Arial" w:cs="Arial"/>
          <w:color w:val="000000"/>
          <w:sz w:val="24"/>
          <w:szCs w:val="24"/>
        </w:rPr>
        <w:t xml:space="preserve"> should be repealed. It</w:t>
      </w:r>
      <w:r w:rsidRPr="00AC43CA">
        <w:rPr>
          <w:rFonts w:ascii="Arial" w:hAnsi="Arial" w:cs="Arial"/>
          <w:w w:val="105"/>
          <w:sz w:val="24"/>
          <w:szCs w:val="24"/>
        </w:rPr>
        <w:t xml:space="preserve"> </w:t>
      </w:r>
      <w:r w:rsidRPr="00AC43CA">
        <w:rPr>
          <w:rFonts w:ascii="Arial" w:hAnsi="Arial" w:cs="Arial"/>
          <w:color w:val="000000"/>
          <w:sz w:val="24"/>
          <w:szCs w:val="24"/>
        </w:rPr>
        <w:t xml:space="preserve">appears to abridge </w:t>
      </w:r>
      <w:r>
        <w:rPr>
          <w:rFonts w:ascii="Arial" w:hAnsi="Arial" w:cs="Arial"/>
          <w:color w:val="000000"/>
          <w:sz w:val="24"/>
          <w:szCs w:val="24"/>
        </w:rPr>
        <w:t xml:space="preserve">the </w:t>
      </w:r>
      <w:r w:rsidRPr="00AC43CA">
        <w:rPr>
          <w:rFonts w:ascii="Arial" w:hAnsi="Arial" w:cs="Arial"/>
          <w:color w:val="000000"/>
          <w:sz w:val="24"/>
          <w:szCs w:val="24"/>
        </w:rPr>
        <w:t>right</w:t>
      </w:r>
      <w:r>
        <w:rPr>
          <w:rFonts w:ascii="Arial" w:hAnsi="Arial" w:cs="Arial"/>
          <w:color w:val="000000"/>
          <w:sz w:val="24"/>
          <w:szCs w:val="24"/>
        </w:rPr>
        <w:t xml:space="preserve"> to use interrogatories </w:t>
      </w:r>
      <w:r w:rsidRPr="00AC43CA">
        <w:rPr>
          <w:rFonts w:ascii="Arial" w:hAnsi="Arial" w:cs="Arial"/>
          <w:color w:val="000000"/>
          <w:sz w:val="24"/>
          <w:szCs w:val="24"/>
        </w:rPr>
        <w:t xml:space="preserve">conferred by </w:t>
      </w:r>
      <w:r>
        <w:rPr>
          <w:rFonts w:ascii="Arial" w:hAnsi="Arial" w:cs="Arial"/>
          <w:color w:val="000000"/>
          <w:sz w:val="24"/>
          <w:szCs w:val="24"/>
        </w:rPr>
        <w:t xml:space="preserve">CPLR 3130 and </w:t>
      </w:r>
      <w:r w:rsidR="00BA6288">
        <w:rPr>
          <w:rFonts w:ascii="Arial" w:hAnsi="Arial" w:cs="Arial"/>
          <w:color w:val="000000"/>
          <w:sz w:val="24"/>
          <w:szCs w:val="24"/>
        </w:rPr>
        <w:t>be</w:t>
      </w:r>
      <w:r>
        <w:rPr>
          <w:rFonts w:ascii="Arial" w:hAnsi="Arial" w:cs="Arial"/>
          <w:color w:val="000000"/>
          <w:sz w:val="24"/>
          <w:szCs w:val="24"/>
        </w:rPr>
        <w:t xml:space="preserve"> in</w:t>
      </w:r>
      <w:r w:rsidRPr="00503D70">
        <w:rPr>
          <w:rFonts w:ascii="Arial" w:hAnsi="Arial" w:cs="Arial"/>
          <w:color w:val="000000"/>
          <w:sz w:val="24"/>
          <w:szCs w:val="24"/>
          <w:shd w:val="clear" w:color="auto" w:fill="FFFFFF"/>
        </w:rPr>
        <w:t>consistent with existing legislation</w:t>
      </w:r>
      <w:r>
        <w:rPr>
          <w:rFonts w:ascii="Arial" w:hAnsi="Arial" w:cs="Arial"/>
          <w:color w:val="000000"/>
          <w:sz w:val="24"/>
          <w:szCs w:val="24"/>
          <w:shd w:val="clear" w:color="auto" w:fill="FFFFFF"/>
        </w:rPr>
        <w:t>.</w:t>
      </w:r>
      <w:r w:rsidRPr="00EC2047">
        <w:rPr>
          <w:rFonts w:ascii="Arial" w:hAnsi="Arial" w:cs="Arial"/>
          <w:w w:val="105"/>
          <w:sz w:val="24"/>
          <w:szCs w:val="24"/>
        </w:rPr>
        <w:t xml:space="preserve"> </w:t>
      </w:r>
      <w:r>
        <w:rPr>
          <w:rFonts w:ascii="Arial" w:hAnsi="Arial" w:cs="Arial"/>
          <w:w w:val="105"/>
          <w:sz w:val="24"/>
          <w:szCs w:val="24"/>
        </w:rPr>
        <w:t xml:space="preserve">It effectively </w:t>
      </w:r>
      <w:r w:rsidRPr="00AC43CA">
        <w:rPr>
          <w:rFonts w:ascii="Arial" w:hAnsi="Arial" w:cs="Arial"/>
          <w:w w:val="105"/>
          <w:sz w:val="24"/>
          <w:szCs w:val="24"/>
        </w:rPr>
        <w:t>prevent</w:t>
      </w:r>
      <w:r>
        <w:rPr>
          <w:rFonts w:ascii="Arial" w:hAnsi="Arial" w:cs="Arial"/>
          <w:w w:val="105"/>
          <w:sz w:val="24"/>
          <w:szCs w:val="24"/>
        </w:rPr>
        <w:t>s</w:t>
      </w:r>
      <w:r w:rsidRPr="00AC43CA">
        <w:rPr>
          <w:rFonts w:ascii="Arial" w:hAnsi="Arial" w:cs="Arial"/>
          <w:w w:val="105"/>
          <w:sz w:val="24"/>
          <w:szCs w:val="24"/>
        </w:rPr>
        <w:t xml:space="preserve"> the </w:t>
      </w:r>
      <w:r w:rsidRPr="00AC43CA">
        <w:rPr>
          <w:rFonts w:ascii="Arial" w:hAnsi="Arial" w:cs="Arial"/>
          <w:sz w:val="24"/>
          <w:szCs w:val="24"/>
        </w:rPr>
        <w:t>parties</w:t>
      </w:r>
      <w:r>
        <w:rPr>
          <w:rFonts w:ascii="Arial" w:hAnsi="Arial" w:cs="Arial"/>
          <w:sz w:val="24"/>
          <w:szCs w:val="24"/>
        </w:rPr>
        <w:t>, who cannot afford the expense of time</w:t>
      </w:r>
      <w:r w:rsidR="0067156A">
        <w:rPr>
          <w:rFonts w:ascii="Arial" w:hAnsi="Arial" w:cs="Arial"/>
          <w:sz w:val="24"/>
          <w:szCs w:val="24"/>
        </w:rPr>
        <w:t>-</w:t>
      </w:r>
      <w:r>
        <w:rPr>
          <w:rFonts w:ascii="Arial" w:hAnsi="Arial" w:cs="Arial"/>
          <w:sz w:val="24"/>
          <w:szCs w:val="24"/>
        </w:rPr>
        <w:t xml:space="preserve">consuming and costly depositions, </w:t>
      </w:r>
      <w:r w:rsidRPr="00AC43CA">
        <w:rPr>
          <w:rFonts w:ascii="Arial" w:hAnsi="Arial" w:cs="Arial"/>
          <w:sz w:val="24"/>
          <w:szCs w:val="24"/>
        </w:rPr>
        <w:t xml:space="preserve"> from using interrogatories in matrimonial actions</w:t>
      </w:r>
      <w:r w:rsidR="002E3E20">
        <w:rPr>
          <w:rFonts w:ascii="Arial" w:hAnsi="Arial" w:cs="Arial"/>
          <w:sz w:val="24"/>
          <w:szCs w:val="24"/>
        </w:rPr>
        <w:t xml:space="preserve"> to obtain low</w:t>
      </w:r>
      <w:r w:rsidR="0067156A">
        <w:rPr>
          <w:rFonts w:ascii="Arial" w:hAnsi="Arial" w:cs="Arial"/>
          <w:sz w:val="24"/>
          <w:szCs w:val="24"/>
        </w:rPr>
        <w:t>-</w:t>
      </w:r>
      <w:r w:rsidR="002E3E20">
        <w:rPr>
          <w:rFonts w:ascii="Arial" w:hAnsi="Arial" w:cs="Arial"/>
          <w:sz w:val="24"/>
          <w:szCs w:val="24"/>
        </w:rPr>
        <w:t>cost broad financial discovery</w:t>
      </w:r>
      <w:r w:rsidR="00A3253B">
        <w:rPr>
          <w:rFonts w:ascii="Arial" w:hAnsi="Arial" w:cs="Arial"/>
          <w:sz w:val="24"/>
          <w:szCs w:val="24"/>
        </w:rPr>
        <w:t>.</w:t>
      </w:r>
    </w:p>
    <w:p w14:paraId="5F820F85" w14:textId="77777777" w:rsidR="008F1568" w:rsidRDefault="008F1568" w:rsidP="008F1568">
      <w:pPr>
        <w:ind w:firstLine="720"/>
      </w:pPr>
    </w:p>
    <w:p w14:paraId="41992866" w14:textId="77777777" w:rsidR="00CD5ED2" w:rsidRPr="00CD5ED2" w:rsidRDefault="00CD5ED2" w:rsidP="00CD5ED2"/>
    <w:p w14:paraId="2FA67F3E" w14:textId="77777777" w:rsidR="00E25051" w:rsidRPr="00D80E13" w:rsidRDefault="00E25051" w:rsidP="00E6309C">
      <w:pPr>
        <w:pStyle w:val="pxs"/>
        <w:rPr>
          <w:rFonts w:ascii="Arial" w:hAnsi="Arial" w:cs="Arial"/>
        </w:rPr>
      </w:pPr>
    </w:p>
    <w:p w14:paraId="3CD837BF" w14:textId="77777777" w:rsidR="007B0D52" w:rsidRDefault="007B0D52" w:rsidP="007B0D52">
      <w:pPr>
        <w:ind w:left="1440" w:firstLine="720"/>
      </w:pPr>
    </w:p>
    <w:p w14:paraId="418E4FC1" w14:textId="1F003359" w:rsidR="00A610A3" w:rsidRPr="00A610A3" w:rsidRDefault="00A610A3" w:rsidP="00A610A3">
      <w:pPr>
        <w:textAlignment w:val="top"/>
        <w:rPr>
          <w:rFonts w:ascii="Arial" w:hAnsi="Arial" w:cs="Arial"/>
          <w:b/>
          <w:bCs/>
          <w:color w:val="250BF0"/>
        </w:rPr>
      </w:pPr>
      <w:r w:rsidRPr="00A610A3">
        <w:rPr>
          <w:rFonts w:ascii="Arial" w:hAnsi="Arial" w:cs="Arial"/>
          <w:b/>
          <w:bCs/>
        </w:rPr>
        <w:t>Joel R. Brandes practices matrimonial law in New York City concentrating on appeals. He is the author of a new twelve-volume treatise, Law and the Family New York, 202</w:t>
      </w:r>
      <w:r w:rsidR="00546C48">
        <w:rPr>
          <w:rFonts w:ascii="Arial" w:hAnsi="Arial" w:cs="Arial"/>
          <w:b/>
          <w:bCs/>
        </w:rPr>
        <w:t>2</w:t>
      </w:r>
      <w:r w:rsidRPr="00A610A3">
        <w:rPr>
          <w:rFonts w:ascii="Arial" w:hAnsi="Arial" w:cs="Arial"/>
          <w:b/>
          <w:bCs/>
        </w:rPr>
        <w:t>- 202</w:t>
      </w:r>
      <w:r w:rsidR="00546C48">
        <w:rPr>
          <w:rFonts w:ascii="Arial" w:hAnsi="Arial" w:cs="Arial"/>
          <w:b/>
          <w:bCs/>
        </w:rPr>
        <w:t>3</w:t>
      </w:r>
      <w:r w:rsidRPr="00A610A3">
        <w:rPr>
          <w:rFonts w:ascii="Arial" w:hAnsi="Arial" w:cs="Arial"/>
          <w:b/>
          <w:bCs/>
        </w:rPr>
        <w:t xml:space="preserve"> Edition, and Law and the Family New York Forms, 2022 Edition (five volumes), both published by Thomson Reuters, and the New York Matrimonial Trial Handbook (Bookbaby). He can be reached at joel@nysdivorce.com or at his website at www.nysdivorce.com.</w:t>
      </w:r>
      <w:r w:rsidRPr="00A610A3">
        <w:rPr>
          <w:rFonts w:ascii="Arial" w:hAnsi="Arial" w:cs="Arial"/>
          <w:b/>
          <w:bCs/>
          <w:color w:val="250BF0"/>
        </w:rPr>
        <w:t> </w:t>
      </w:r>
    </w:p>
    <w:p w14:paraId="0B9670DD" w14:textId="77777777" w:rsidR="00A610A3" w:rsidRDefault="00A610A3" w:rsidP="00A610A3">
      <w:pPr>
        <w:textAlignment w:val="top"/>
        <w:rPr>
          <w:b/>
          <w:bCs/>
          <w:color w:val="250BF0"/>
        </w:rPr>
      </w:pPr>
    </w:p>
    <w:p w14:paraId="2D712DEC" w14:textId="370082ED" w:rsidR="002D14B1" w:rsidRPr="000D6167" w:rsidRDefault="002D14B1" w:rsidP="00F44597">
      <w:pPr>
        <w:pStyle w:val="FootnoteText"/>
        <w:ind w:firstLine="219"/>
        <w:rPr>
          <w:rFonts w:ascii="Times New Roman" w:hAnsi="Times New Roman"/>
          <w:color w:val="000000"/>
        </w:rPr>
      </w:pPr>
    </w:p>
    <w:p w14:paraId="53AD285F" w14:textId="77777777" w:rsidR="00B466AF" w:rsidRPr="00E6309C" w:rsidRDefault="00B466AF" w:rsidP="00B466AF">
      <w:pPr>
        <w:rPr>
          <w:rFonts w:ascii="Arial" w:hAnsi="Arial" w:cs="Arial"/>
        </w:rPr>
      </w:pPr>
    </w:p>
    <w:p w14:paraId="39989D0D" w14:textId="77777777" w:rsidR="009260F1" w:rsidRPr="00B05E00" w:rsidRDefault="009260F1" w:rsidP="00111167">
      <w:pPr>
        <w:rPr>
          <w:rFonts w:ascii="Arial" w:hAnsi="Arial" w:cs="Arial"/>
        </w:rPr>
      </w:pPr>
    </w:p>
    <w:p w14:paraId="5A5FA911" w14:textId="77777777" w:rsidR="006B7B55" w:rsidRPr="00E6309C" w:rsidRDefault="006B7B55" w:rsidP="006B7B55">
      <w:pPr>
        <w:rPr>
          <w:rFonts w:ascii="Arial" w:hAnsi="Arial" w:cs="Arial"/>
        </w:rPr>
      </w:pPr>
    </w:p>
    <w:sectPr w:rsidR="006B7B55" w:rsidRPr="00E6309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D3D2" w14:textId="77777777" w:rsidR="00677611" w:rsidRDefault="00677611" w:rsidP="00866BEB">
      <w:r>
        <w:separator/>
      </w:r>
    </w:p>
  </w:endnote>
  <w:endnote w:type="continuationSeparator" w:id="0">
    <w:p w14:paraId="2C43DA49" w14:textId="77777777" w:rsidR="00677611" w:rsidRDefault="00677611" w:rsidP="0086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Rom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260307"/>
      <w:docPartObj>
        <w:docPartGallery w:val="Page Numbers (Bottom of Page)"/>
        <w:docPartUnique/>
      </w:docPartObj>
    </w:sdtPr>
    <w:sdtEndPr>
      <w:rPr>
        <w:noProof/>
      </w:rPr>
    </w:sdtEndPr>
    <w:sdtContent>
      <w:p w14:paraId="090CC30B" w14:textId="13C9AC2B" w:rsidR="00B93DD2" w:rsidRDefault="00B93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A3E75" w14:textId="77777777" w:rsidR="00DD6ADE" w:rsidRDefault="00DD6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4A39" w14:textId="77777777" w:rsidR="00677611" w:rsidRDefault="00677611" w:rsidP="00866BEB">
      <w:r>
        <w:separator/>
      </w:r>
    </w:p>
  </w:footnote>
  <w:footnote w:type="continuationSeparator" w:id="0">
    <w:p w14:paraId="37C77FF7" w14:textId="77777777" w:rsidR="00677611" w:rsidRDefault="00677611" w:rsidP="00866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tDC2MDcxMLEwMrBQ0lEKTi0uzszPAykwtKwFAHTNI24tAAAA"/>
    <w:docVar w:name="dgnword-docGUID" w:val="{2B021C6E-8D10-4C0E-B168-671707953836}"/>
    <w:docVar w:name="dgnword-eventsink" w:val="2843257296208"/>
  </w:docVars>
  <w:rsids>
    <w:rsidRoot w:val="00866BEB"/>
    <w:rsid w:val="000029D7"/>
    <w:rsid w:val="000309E4"/>
    <w:rsid w:val="000551A7"/>
    <w:rsid w:val="00066AA4"/>
    <w:rsid w:val="00067AFE"/>
    <w:rsid w:val="0009262F"/>
    <w:rsid w:val="00094008"/>
    <w:rsid w:val="000A1E2F"/>
    <w:rsid w:val="000A5ACE"/>
    <w:rsid w:val="000C47FC"/>
    <w:rsid w:val="000C7829"/>
    <w:rsid w:val="000F2F19"/>
    <w:rsid w:val="000F34A9"/>
    <w:rsid w:val="00111167"/>
    <w:rsid w:val="0013722B"/>
    <w:rsid w:val="001523C1"/>
    <w:rsid w:val="00170CC4"/>
    <w:rsid w:val="001908A1"/>
    <w:rsid w:val="00195F5D"/>
    <w:rsid w:val="00196403"/>
    <w:rsid w:val="001A220E"/>
    <w:rsid w:val="001A7EDD"/>
    <w:rsid w:val="001B2D70"/>
    <w:rsid w:val="001D0C63"/>
    <w:rsid w:val="001D4B07"/>
    <w:rsid w:val="001F2CCD"/>
    <w:rsid w:val="0020335D"/>
    <w:rsid w:val="00232CA7"/>
    <w:rsid w:val="0024039B"/>
    <w:rsid w:val="00240A06"/>
    <w:rsid w:val="00243236"/>
    <w:rsid w:val="0024736D"/>
    <w:rsid w:val="00260DA3"/>
    <w:rsid w:val="00274322"/>
    <w:rsid w:val="0027514B"/>
    <w:rsid w:val="002864FC"/>
    <w:rsid w:val="002D14B1"/>
    <w:rsid w:val="002E3E20"/>
    <w:rsid w:val="002F7A52"/>
    <w:rsid w:val="0031107A"/>
    <w:rsid w:val="00311113"/>
    <w:rsid w:val="003263DC"/>
    <w:rsid w:val="00342ECF"/>
    <w:rsid w:val="00343975"/>
    <w:rsid w:val="00390167"/>
    <w:rsid w:val="003A0EEB"/>
    <w:rsid w:val="003B4272"/>
    <w:rsid w:val="003B500E"/>
    <w:rsid w:val="003C419B"/>
    <w:rsid w:val="003E4C0F"/>
    <w:rsid w:val="004174DE"/>
    <w:rsid w:val="004247E1"/>
    <w:rsid w:val="0042714D"/>
    <w:rsid w:val="0043170E"/>
    <w:rsid w:val="004507EF"/>
    <w:rsid w:val="00453559"/>
    <w:rsid w:val="004615D8"/>
    <w:rsid w:val="00461BE9"/>
    <w:rsid w:val="004A4078"/>
    <w:rsid w:val="004B653A"/>
    <w:rsid w:val="004C2A35"/>
    <w:rsid w:val="004D2DA1"/>
    <w:rsid w:val="00502472"/>
    <w:rsid w:val="00502CF9"/>
    <w:rsid w:val="00503D70"/>
    <w:rsid w:val="00523F49"/>
    <w:rsid w:val="005349EF"/>
    <w:rsid w:val="00546C48"/>
    <w:rsid w:val="00582B3F"/>
    <w:rsid w:val="005B3D3E"/>
    <w:rsid w:val="005C6328"/>
    <w:rsid w:val="005E4940"/>
    <w:rsid w:val="005F58AC"/>
    <w:rsid w:val="005F5CD8"/>
    <w:rsid w:val="00631F94"/>
    <w:rsid w:val="00643A7A"/>
    <w:rsid w:val="00646190"/>
    <w:rsid w:val="0065076A"/>
    <w:rsid w:val="00655D92"/>
    <w:rsid w:val="0067156A"/>
    <w:rsid w:val="00677611"/>
    <w:rsid w:val="0068452E"/>
    <w:rsid w:val="006912E1"/>
    <w:rsid w:val="006A7A21"/>
    <w:rsid w:val="006B7B55"/>
    <w:rsid w:val="006E3F90"/>
    <w:rsid w:val="006F4958"/>
    <w:rsid w:val="006F500A"/>
    <w:rsid w:val="007071F5"/>
    <w:rsid w:val="00717E93"/>
    <w:rsid w:val="007B0D52"/>
    <w:rsid w:val="007F4724"/>
    <w:rsid w:val="00830B53"/>
    <w:rsid w:val="008439EA"/>
    <w:rsid w:val="0085328F"/>
    <w:rsid w:val="00866BEB"/>
    <w:rsid w:val="00885644"/>
    <w:rsid w:val="0088607B"/>
    <w:rsid w:val="008866BB"/>
    <w:rsid w:val="008932C6"/>
    <w:rsid w:val="008B6D5E"/>
    <w:rsid w:val="008C4329"/>
    <w:rsid w:val="008C6802"/>
    <w:rsid w:val="008D7261"/>
    <w:rsid w:val="008F1568"/>
    <w:rsid w:val="00902AEF"/>
    <w:rsid w:val="009260F1"/>
    <w:rsid w:val="009274DA"/>
    <w:rsid w:val="00952AB7"/>
    <w:rsid w:val="00953621"/>
    <w:rsid w:val="0096352E"/>
    <w:rsid w:val="00972845"/>
    <w:rsid w:val="0099028F"/>
    <w:rsid w:val="00992D52"/>
    <w:rsid w:val="00994324"/>
    <w:rsid w:val="009B2DFE"/>
    <w:rsid w:val="009D1633"/>
    <w:rsid w:val="009D1A6B"/>
    <w:rsid w:val="00A04FEA"/>
    <w:rsid w:val="00A11A1D"/>
    <w:rsid w:val="00A207C6"/>
    <w:rsid w:val="00A24ECA"/>
    <w:rsid w:val="00A276E4"/>
    <w:rsid w:val="00A322E0"/>
    <w:rsid w:val="00A3253B"/>
    <w:rsid w:val="00A4666A"/>
    <w:rsid w:val="00A57729"/>
    <w:rsid w:val="00A610A3"/>
    <w:rsid w:val="00A94710"/>
    <w:rsid w:val="00AB1B86"/>
    <w:rsid w:val="00AC43CA"/>
    <w:rsid w:val="00AD1E5E"/>
    <w:rsid w:val="00AD5AFD"/>
    <w:rsid w:val="00B224CA"/>
    <w:rsid w:val="00B24061"/>
    <w:rsid w:val="00B24784"/>
    <w:rsid w:val="00B319D8"/>
    <w:rsid w:val="00B32F6F"/>
    <w:rsid w:val="00B349C7"/>
    <w:rsid w:val="00B466AF"/>
    <w:rsid w:val="00B53F55"/>
    <w:rsid w:val="00B570E8"/>
    <w:rsid w:val="00B76AEF"/>
    <w:rsid w:val="00B8282E"/>
    <w:rsid w:val="00B85D1C"/>
    <w:rsid w:val="00B93DD2"/>
    <w:rsid w:val="00BA6288"/>
    <w:rsid w:val="00BA69E7"/>
    <w:rsid w:val="00BC23D0"/>
    <w:rsid w:val="00BE11C1"/>
    <w:rsid w:val="00BE5863"/>
    <w:rsid w:val="00C065BF"/>
    <w:rsid w:val="00C06FAB"/>
    <w:rsid w:val="00C07263"/>
    <w:rsid w:val="00C43099"/>
    <w:rsid w:val="00C54F6B"/>
    <w:rsid w:val="00C562C6"/>
    <w:rsid w:val="00C60C15"/>
    <w:rsid w:val="00C62D9F"/>
    <w:rsid w:val="00C96D8D"/>
    <w:rsid w:val="00CA043E"/>
    <w:rsid w:val="00CC0F72"/>
    <w:rsid w:val="00CC3BA5"/>
    <w:rsid w:val="00CC5643"/>
    <w:rsid w:val="00CD4AE8"/>
    <w:rsid w:val="00CD5ED2"/>
    <w:rsid w:val="00CE2C2B"/>
    <w:rsid w:val="00D05130"/>
    <w:rsid w:val="00D34201"/>
    <w:rsid w:val="00D74FD9"/>
    <w:rsid w:val="00D80E13"/>
    <w:rsid w:val="00D84F8E"/>
    <w:rsid w:val="00D86357"/>
    <w:rsid w:val="00DA502D"/>
    <w:rsid w:val="00DD6ADE"/>
    <w:rsid w:val="00DE43D7"/>
    <w:rsid w:val="00E02E6B"/>
    <w:rsid w:val="00E25051"/>
    <w:rsid w:val="00E455E6"/>
    <w:rsid w:val="00E55867"/>
    <w:rsid w:val="00E6309C"/>
    <w:rsid w:val="00E6659C"/>
    <w:rsid w:val="00E85FF6"/>
    <w:rsid w:val="00EB5B3F"/>
    <w:rsid w:val="00EC2047"/>
    <w:rsid w:val="00EE0D2A"/>
    <w:rsid w:val="00F02D96"/>
    <w:rsid w:val="00F047DA"/>
    <w:rsid w:val="00F13491"/>
    <w:rsid w:val="00F1421E"/>
    <w:rsid w:val="00F34B0D"/>
    <w:rsid w:val="00F41EF2"/>
    <w:rsid w:val="00F44597"/>
    <w:rsid w:val="00F7158E"/>
    <w:rsid w:val="00F83993"/>
    <w:rsid w:val="00F906DF"/>
    <w:rsid w:val="00FA214B"/>
    <w:rsid w:val="00FB05B0"/>
    <w:rsid w:val="00FB7950"/>
    <w:rsid w:val="00FC6F1E"/>
    <w:rsid w:val="00FE60A4"/>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DCED4"/>
  <w15:chartTrackingRefBased/>
  <w15:docId w15:val="{B3368A30-5412-4611-B7CA-A277F7D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66BEB"/>
    <w:pPr>
      <w:widowControl w:val="0"/>
      <w:autoSpaceDE w:val="0"/>
      <w:autoSpaceDN w:val="0"/>
      <w:adjustRightInd w:val="0"/>
      <w:spacing w:after="0" w:line="240" w:lineRule="auto"/>
    </w:pPr>
    <w:rPr>
      <w:rFonts w:ascii="Times NewRoman" w:eastAsia="Times New Roman" w:hAnsi="Times NewRoman" w:cs="Times New Roman"/>
      <w:sz w:val="24"/>
      <w:szCs w:val="24"/>
    </w:rPr>
  </w:style>
  <w:style w:type="paragraph" w:styleId="Heading1">
    <w:name w:val="heading 1"/>
    <w:basedOn w:val="Normal"/>
    <w:next w:val="Normal"/>
    <w:link w:val="Heading1Char"/>
    <w:uiPriority w:val="9"/>
    <w:qFormat/>
    <w:rsid w:val="00866BE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unhideWhenUsed/>
    <w:qFormat/>
    <w:rsid w:val="000C47F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BEB"/>
    <w:rPr>
      <w:rFonts w:asciiTheme="majorHAnsi" w:eastAsiaTheme="majorEastAsia" w:hAnsiTheme="majorHAnsi" w:cstheme="majorBidi"/>
      <w:b/>
      <w:bCs/>
      <w:kern w:val="32"/>
      <w:sz w:val="32"/>
      <w:szCs w:val="32"/>
    </w:rPr>
  </w:style>
  <w:style w:type="character" w:customStyle="1" w:styleId="pxpl">
    <w:name w:val="px.pl"/>
    <w:uiPriority w:val="99"/>
    <w:rsid w:val="00866BEB"/>
    <w:rPr>
      <w:sz w:val="24"/>
      <w:szCs w:val="24"/>
    </w:rPr>
  </w:style>
  <w:style w:type="character" w:customStyle="1" w:styleId="pxx">
    <w:name w:val="px.x"/>
    <w:uiPriority w:val="99"/>
    <w:rsid w:val="00866BEB"/>
    <w:rPr>
      <w:sz w:val="24"/>
      <w:szCs w:val="24"/>
    </w:rPr>
  </w:style>
  <w:style w:type="character" w:customStyle="1" w:styleId="pxntc">
    <w:name w:val="px.ntc"/>
    <w:uiPriority w:val="99"/>
    <w:rsid w:val="00866BEB"/>
    <w:rPr>
      <w:sz w:val="24"/>
      <w:szCs w:val="24"/>
    </w:rPr>
  </w:style>
  <w:style w:type="character" w:customStyle="1" w:styleId="pxvis">
    <w:name w:val="px.vis"/>
    <w:uiPriority w:val="99"/>
    <w:rsid w:val="00866BEB"/>
    <w:rPr>
      <w:rFonts w:ascii="Arial" w:hAnsi="Arial" w:cs="Arial"/>
      <w:b/>
      <w:bCs/>
      <w:sz w:val="28"/>
      <w:szCs w:val="28"/>
    </w:rPr>
  </w:style>
  <w:style w:type="paragraph" w:customStyle="1" w:styleId="pxch">
    <w:name w:val="px.ch"/>
    <w:next w:val="Normal"/>
    <w:uiPriority w:val="99"/>
    <w:rsid w:val="00866BEB"/>
    <w:pPr>
      <w:widowControl w:val="0"/>
      <w:autoSpaceDE w:val="0"/>
      <w:autoSpaceDN w:val="0"/>
      <w:adjustRightInd w:val="0"/>
      <w:spacing w:after="0" w:line="240" w:lineRule="auto"/>
    </w:pPr>
    <w:rPr>
      <w:rFonts w:ascii="Times NewRoman" w:eastAsia="Times New Roman" w:hAnsi="Times NewRoman" w:cs="Times New Roman"/>
      <w:sz w:val="24"/>
      <w:szCs w:val="24"/>
    </w:rPr>
  </w:style>
  <w:style w:type="paragraph" w:customStyle="1" w:styleId="pxs">
    <w:name w:val="px.s"/>
    <w:next w:val="Normal"/>
    <w:uiPriority w:val="99"/>
    <w:rsid w:val="00866BEB"/>
    <w:pPr>
      <w:widowControl w:val="0"/>
      <w:autoSpaceDE w:val="0"/>
      <w:autoSpaceDN w:val="0"/>
      <w:adjustRightInd w:val="0"/>
      <w:spacing w:after="0" w:line="240" w:lineRule="auto"/>
    </w:pPr>
    <w:rPr>
      <w:rFonts w:ascii="Times NewRoman" w:eastAsia="Times New Roman" w:hAnsi="Times NewRoman" w:cs="Times New Roman"/>
      <w:sz w:val="24"/>
      <w:szCs w:val="24"/>
    </w:rPr>
  </w:style>
  <w:style w:type="character" w:styleId="Hyperlink">
    <w:name w:val="Hyperlink"/>
    <w:basedOn w:val="DefaultParagraphFont"/>
    <w:uiPriority w:val="99"/>
    <w:unhideWhenUsed/>
    <w:rsid w:val="00A207C6"/>
    <w:rPr>
      <w:color w:val="0000FF"/>
      <w:u w:val="single"/>
    </w:rPr>
  </w:style>
  <w:style w:type="character" w:styleId="Emphasis">
    <w:name w:val="Emphasis"/>
    <w:basedOn w:val="DefaultParagraphFont"/>
    <w:uiPriority w:val="20"/>
    <w:qFormat/>
    <w:rsid w:val="00A207C6"/>
    <w:rPr>
      <w:i/>
      <w:iCs/>
    </w:rPr>
  </w:style>
  <w:style w:type="character" w:customStyle="1" w:styleId="costarpage">
    <w:name w:val="co_starpage"/>
    <w:basedOn w:val="DefaultParagraphFont"/>
    <w:rsid w:val="00A207C6"/>
  </w:style>
  <w:style w:type="character" w:customStyle="1" w:styleId="Heading3Char">
    <w:name w:val="Heading 3 Char"/>
    <w:basedOn w:val="DefaultParagraphFont"/>
    <w:link w:val="Heading3"/>
    <w:uiPriority w:val="9"/>
    <w:rsid w:val="000C47F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A04FEA"/>
    <w:pPr>
      <w:widowControl/>
      <w:autoSpaceDE/>
      <w:autoSpaceDN/>
      <w:adjustRightInd/>
      <w:spacing w:after="160" w:line="259"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04FEA"/>
    <w:rPr>
      <w:rFonts w:eastAsiaTheme="minorEastAsia"/>
      <w:sz w:val="20"/>
      <w:szCs w:val="20"/>
    </w:rPr>
  </w:style>
  <w:style w:type="character" w:styleId="FootnoteReference">
    <w:name w:val="footnote reference"/>
    <w:basedOn w:val="DefaultParagraphFont"/>
    <w:uiPriority w:val="99"/>
    <w:unhideWhenUsed/>
    <w:qFormat/>
    <w:rsid w:val="00A04FEA"/>
    <w:rPr>
      <w:vertAlign w:val="superscript"/>
    </w:rPr>
  </w:style>
  <w:style w:type="character" w:styleId="FollowedHyperlink">
    <w:name w:val="FollowedHyperlink"/>
    <w:basedOn w:val="DefaultParagraphFont"/>
    <w:uiPriority w:val="99"/>
    <w:semiHidden/>
    <w:unhideWhenUsed/>
    <w:rsid w:val="00B319D8"/>
    <w:rPr>
      <w:color w:val="954F72" w:themeColor="followedHyperlink"/>
      <w:u w:val="single"/>
    </w:rPr>
  </w:style>
  <w:style w:type="paragraph" w:styleId="Header">
    <w:name w:val="header"/>
    <w:basedOn w:val="Normal"/>
    <w:link w:val="HeaderChar"/>
    <w:uiPriority w:val="99"/>
    <w:unhideWhenUsed/>
    <w:rsid w:val="00DD6ADE"/>
    <w:pPr>
      <w:tabs>
        <w:tab w:val="center" w:pos="4680"/>
        <w:tab w:val="right" w:pos="9360"/>
      </w:tabs>
    </w:pPr>
  </w:style>
  <w:style w:type="character" w:customStyle="1" w:styleId="HeaderChar">
    <w:name w:val="Header Char"/>
    <w:basedOn w:val="DefaultParagraphFont"/>
    <w:link w:val="Header"/>
    <w:uiPriority w:val="99"/>
    <w:rsid w:val="00DD6ADE"/>
    <w:rPr>
      <w:rFonts w:ascii="Times NewRoman" w:eastAsia="Times New Roman" w:hAnsi="Times NewRoman" w:cs="Times New Roman"/>
      <w:sz w:val="24"/>
      <w:szCs w:val="24"/>
    </w:rPr>
  </w:style>
  <w:style w:type="paragraph" w:styleId="Footer">
    <w:name w:val="footer"/>
    <w:basedOn w:val="Normal"/>
    <w:link w:val="FooterChar"/>
    <w:uiPriority w:val="99"/>
    <w:unhideWhenUsed/>
    <w:rsid w:val="00DD6ADE"/>
    <w:pPr>
      <w:tabs>
        <w:tab w:val="center" w:pos="4680"/>
        <w:tab w:val="right" w:pos="9360"/>
      </w:tabs>
    </w:pPr>
  </w:style>
  <w:style w:type="character" w:customStyle="1" w:styleId="FooterChar">
    <w:name w:val="Footer Char"/>
    <w:basedOn w:val="DefaultParagraphFont"/>
    <w:link w:val="Footer"/>
    <w:uiPriority w:val="99"/>
    <w:rsid w:val="00DD6ADE"/>
    <w:rPr>
      <w:rFonts w:ascii="Times NewRoman" w:eastAsia="Times New Roman" w:hAnsi="Times NewRoman" w:cs="Times New Roman"/>
      <w:sz w:val="24"/>
      <w:szCs w:val="24"/>
    </w:rPr>
  </w:style>
  <w:style w:type="paragraph" w:styleId="NormalWeb">
    <w:name w:val="Normal (Web)"/>
    <w:basedOn w:val="Normal"/>
    <w:uiPriority w:val="99"/>
    <w:unhideWhenUsed/>
    <w:rsid w:val="0027514B"/>
    <w:pPr>
      <w:widowControl/>
      <w:autoSpaceDE/>
      <w:autoSpaceDN/>
      <w:adjustRightInd/>
      <w:spacing w:before="100" w:beforeAutospacing="1" w:after="100" w:afterAutospacing="1"/>
    </w:pPr>
    <w:rPr>
      <w:rFonts w:ascii="Times New Roman" w:hAnsi="Times New Roman"/>
    </w:rPr>
  </w:style>
  <w:style w:type="paragraph" w:styleId="BodyText">
    <w:name w:val="Body Text"/>
    <w:basedOn w:val="Normal"/>
    <w:link w:val="BodyTextChar"/>
    <w:uiPriority w:val="1"/>
    <w:qFormat/>
    <w:rsid w:val="0027514B"/>
    <w:pPr>
      <w:adjustRightInd/>
    </w:pPr>
    <w:rPr>
      <w:rFonts w:ascii="Times New Roman" w:hAnsi="Times New Roman"/>
      <w:sz w:val="23"/>
      <w:szCs w:val="23"/>
    </w:rPr>
  </w:style>
  <w:style w:type="character" w:customStyle="1" w:styleId="BodyTextChar">
    <w:name w:val="Body Text Char"/>
    <w:basedOn w:val="DefaultParagraphFont"/>
    <w:link w:val="BodyText"/>
    <w:uiPriority w:val="1"/>
    <w:rsid w:val="0027514B"/>
    <w:rPr>
      <w:rFonts w:ascii="Times New Roman" w:eastAsia="Times New Roman" w:hAnsi="Times New Roman" w:cs="Times New Roman"/>
      <w:sz w:val="23"/>
      <w:szCs w:val="23"/>
    </w:rPr>
  </w:style>
  <w:style w:type="paragraph" w:customStyle="1" w:styleId="standardfontb">
    <w:name w:val="standardfontb"/>
    <w:basedOn w:val="Normal"/>
    <w:rsid w:val="0027514B"/>
    <w:pPr>
      <w:widowControl/>
      <w:autoSpaceDE/>
      <w:autoSpaceDN/>
      <w:adjustRightInd/>
      <w:spacing w:before="100" w:beforeAutospacing="1" w:after="100" w:afterAutospacing="1"/>
    </w:pPr>
    <w:rPr>
      <w:rFonts w:ascii="Times New Roman" w:hAnsi="Times New Roman"/>
    </w:rPr>
  </w:style>
  <w:style w:type="character" w:customStyle="1" w:styleId="field">
    <w:name w:val="field"/>
    <w:basedOn w:val="DefaultParagraphFont"/>
    <w:rsid w:val="00066AA4"/>
  </w:style>
  <w:style w:type="character" w:styleId="UnresolvedMention">
    <w:name w:val="Unresolved Mention"/>
    <w:basedOn w:val="DefaultParagraphFont"/>
    <w:uiPriority w:val="99"/>
    <w:semiHidden/>
    <w:unhideWhenUsed/>
    <w:rsid w:val="008F1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7073">
      <w:bodyDiv w:val="1"/>
      <w:marLeft w:val="0"/>
      <w:marRight w:val="0"/>
      <w:marTop w:val="0"/>
      <w:marBottom w:val="0"/>
      <w:divBdr>
        <w:top w:val="none" w:sz="0" w:space="0" w:color="auto"/>
        <w:left w:val="none" w:sz="0" w:space="0" w:color="auto"/>
        <w:bottom w:val="none" w:sz="0" w:space="0" w:color="auto"/>
        <w:right w:val="none" w:sz="0" w:space="0" w:color="auto"/>
      </w:divBdr>
    </w:div>
    <w:div w:id="551693944">
      <w:bodyDiv w:val="1"/>
      <w:marLeft w:val="0"/>
      <w:marRight w:val="0"/>
      <w:marTop w:val="0"/>
      <w:marBottom w:val="0"/>
      <w:divBdr>
        <w:top w:val="none" w:sz="0" w:space="0" w:color="auto"/>
        <w:left w:val="none" w:sz="0" w:space="0" w:color="auto"/>
        <w:bottom w:val="none" w:sz="0" w:space="0" w:color="auto"/>
        <w:right w:val="none" w:sz="0" w:space="0" w:color="auto"/>
      </w:divBdr>
    </w:div>
    <w:div w:id="605427616">
      <w:bodyDiv w:val="1"/>
      <w:marLeft w:val="0"/>
      <w:marRight w:val="0"/>
      <w:marTop w:val="0"/>
      <w:marBottom w:val="0"/>
      <w:divBdr>
        <w:top w:val="none" w:sz="0" w:space="0" w:color="auto"/>
        <w:left w:val="none" w:sz="0" w:space="0" w:color="auto"/>
        <w:bottom w:val="none" w:sz="0" w:space="0" w:color="auto"/>
        <w:right w:val="none" w:sz="0" w:space="0" w:color="auto"/>
      </w:divBdr>
    </w:div>
    <w:div w:id="818499117">
      <w:bodyDiv w:val="1"/>
      <w:marLeft w:val="0"/>
      <w:marRight w:val="0"/>
      <w:marTop w:val="0"/>
      <w:marBottom w:val="0"/>
      <w:divBdr>
        <w:top w:val="none" w:sz="0" w:space="0" w:color="auto"/>
        <w:left w:val="none" w:sz="0" w:space="0" w:color="auto"/>
        <w:bottom w:val="none" w:sz="0" w:space="0" w:color="auto"/>
        <w:right w:val="none" w:sz="0" w:space="0" w:color="auto"/>
      </w:divBdr>
    </w:div>
    <w:div w:id="932854635">
      <w:bodyDiv w:val="1"/>
      <w:marLeft w:val="0"/>
      <w:marRight w:val="0"/>
      <w:marTop w:val="0"/>
      <w:marBottom w:val="0"/>
      <w:divBdr>
        <w:top w:val="none" w:sz="0" w:space="0" w:color="auto"/>
        <w:left w:val="none" w:sz="0" w:space="0" w:color="auto"/>
        <w:bottom w:val="none" w:sz="0" w:space="0" w:color="auto"/>
        <w:right w:val="none" w:sz="0" w:space="0" w:color="auto"/>
      </w:divBdr>
      <w:divsChild>
        <w:div w:id="1336492564">
          <w:marLeft w:val="0"/>
          <w:marRight w:val="0"/>
          <w:marTop w:val="240"/>
          <w:marBottom w:val="0"/>
          <w:divBdr>
            <w:top w:val="none" w:sz="0" w:space="0" w:color="auto"/>
            <w:left w:val="none" w:sz="0" w:space="0" w:color="auto"/>
            <w:bottom w:val="none" w:sz="0" w:space="0" w:color="auto"/>
            <w:right w:val="none" w:sz="0" w:space="0" w:color="auto"/>
          </w:divBdr>
          <w:divsChild>
            <w:div w:id="515538037">
              <w:marLeft w:val="0"/>
              <w:marRight w:val="0"/>
              <w:marTop w:val="0"/>
              <w:marBottom w:val="0"/>
              <w:divBdr>
                <w:top w:val="none" w:sz="0" w:space="0" w:color="auto"/>
                <w:left w:val="none" w:sz="0" w:space="0" w:color="auto"/>
                <w:bottom w:val="none" w:sz="0" w:space="0" w:color="auto"/>
                <w:right w:val="none" w:sz="0" w:space="0" w:color="auto"/>
              </w:divBdr>
            </w:div>
          </w:divsChild>
        </w:div>
        <w:div w:id="1347320011">
          <w:marLeft w:val="0"/>
          <w:marRight w:val="0"/>
          <w:marTop w:val="240"/>
          <w:marBottom w:val="0"/>
          <w:divBdr>
            <w:top w:val="none" w:sz="0" w:space="0" w:color="auto"/>
            <w:left w:val="none" w:sz="0" w:space="0" w:color="auto"/>
            <w:bottom w:val="none" w:sz="0" w:space="0" w:color="auto"/>
            <w:right w:val="none" w:sz="0" w:space="0" w:color="auto"/>
          </w:divBdr>
          <w:divsChild>
            <w:div w:id="6236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037">
      <w:bodyDiv w:val="1"/>
      <w:marLeft w:val="0"/>
      <w:marRight w:val="0"/>
      <w:marTop w:val="0"/>
      <w:marBottom w:val="0"/>
      <w:divBdr>
        <w:top w:val="none" w:sz="0" w:space="0" w:color="auto"/>
        <w:left w:val="none" w:sz="0" w:space="0" w:color="auto"/>
        <w:bottom w:val="none" w:sz="0" w:space="0" w:color="auto"/>
        <w:right w:val="none" w:sz="0" w:space="0" w:color="auto"/>
      </w:divBdr>
    </w:div>
    <w:div w:id="1000308042">
      <w:bodyDiv w:val="1"/>
      <w:marLeft w:val="0"/>
      <w:marRight w:val="0"/>
      <w:marTop w:val="0"/>
      <w:marBottom w:val="0"/>
      <w:divBdr>
        <w:top w:val="none" w:sz="0" w:space="0" w:color="auto"/>
        <w:left w:val="none" w:sz="0" w:space="0" w:color="auto"/>
        <w:bottom w:val="none" w:sz="0" w:space="0" w:color="auto"/>
        <w:right w:val="none" w:sz="0" w:space="0" w:color="auto"/>
      </w:divBdr>
    </w:div>
    <w:div w:id="1009216227">
      <w:bodyDiv w:val="1"/>
      <w:marLeft w:val="0"/>
      <w:marRight w:val="0"/>
      <w:marTop w:val="0"/>
      <w:marBottom w:val="0"/>
      <w:divBdr>
        <w:top w:val="none" w:sz="0" w:space="0" w:color="auto"/>
        <w:left w:val="none" w:sz="0" w:space="0" w:color="auto"/>
        <w:bottom w:val="none" w:sz="0" w:space="0" w:color="auto"/>
        <w:right w:val="none" w:sz="0" w:space="0" w:color="auto"/>
      </w:divBdr>
    </w:div>
    <w:div w:id="1032733353">
      <w:bodyDiv w:val="1"/>
      <w:marLeft w:val="0"/>
      <w:marRight w:val="0"/>
      <w:marTop w:val="0"/>
      <w:marBottom w:val="0"/>
      <w:divBdr>
        <w:top w:val="none" w:sz="0" w:space="0" w:color="auto"/>
        <w:left w:val="none" w:sz="0" w:space="0" w:color="auto"/>
        <w:bottom w:val="none" w:sz="0" w:space="0" w:color="auto"/>
        <w:right w:val="none" w:sz="0" w:space="0" w:color="auto"/>
      </w:divBdr>
    </w:div>
    <w:div w:id="1094863429">
      <w:bodyDiv w:val="1"/>
      <w:marLeft w:val="0"/>
      <w:marRight w:val="0"/>
      <w:marTop w:val="0"/>
      <w:marBottom w:val="0"/>
      <w:divBdr>
        <w:top w:val="none" w:sz="0" w:space="0" w:color="auto"/>
        <w:left w:val="none" w:sz="0" w:space="0" w:color="auto"/>
        <w:bottom w:val="none" w:sz="0" w:space="0" w:color="auto"/>
        <w:right w:val="none" w:sz="0" w:space="0" w:color="auto"/>
      </w:divBdr>
    </w:div>
    <w:div w:id="1143352832">
      <w:bodyDiv w:val="1"/>
      <w:marLeft w:val="0"/>
      <w:marRight w:val="0"/>
      <w:marTop w:val="0"/>
      <w:marBottom w:val="0"/>
      <w:divBdr>
        <w:top w:val="none" w:sz="0" w:space="0" w:color="auto"/>
        <w:left w:val="none" w:sz="0" w:space="0" w:color="auto"/>
        <w:bottom w:val="none" w:sz="0" w:space="0" w:color="auto"/>
        <w:right w:val="none" w:sz="0" w:space="0" w:color="auto"/>
      </w:divBdr>
    </w:div>
    <w:div w:id="1185362994">
      <w:bodyDiv w:val="1"/>
      <w:marLeft w:val="0"/>
      <w:marRight w:val="0"/>
      <w:marTop w:val="0"/>
      <w:marBottom w:val="0"/>
      <w:divBdr>
        <w:top w:val="none" w:sz="0" w:space="0" w:color="auto"/>
        <w:left w:val="none" w:sz="0" w:space="0" w:color="auto"/>
        <w:bottom w:val="none" w:sz="0" w:space="0" w:color="auto"/>
        <w:right w:val="none" w:sz="0" w:space="0" w:color="auto"/>
      </w:divBdr>
    </w:div>
    <w:div w:id="1281573318">
      <w:bodyDiv w:val="1"/>
      <w:marLeft w:val="0"/>
      <w:marRight w:val="0"/>
      <w:marTop w:val="0"/>
      <w:marBottom w:val="0"/>
      <w:divBdr>
        <w:top w:val="none" w:sz="0" w:space="0" w:color="auto"/>
        <w:left w:val="none" w:sz="0" w:space="0" w:color="auto"/>
        <w:bottom w:val="none" w:sz="0" w:space="0" w:color="auto"/>
        <w:right w:val="none" w:sz="0" w:space="0" w:color="auto"/>
      </w:divBdr>
      <w:divsChild>
        <w:div w:id="19015361">
          <w:marLeft w:val="0"/>
          <w:marRight w:val="0"/>
          <w:marTop w:val="24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2014841080">
          <w:marLeft w:val="0"/>
          <w:marRight w:val="0"/>
          <w:marTop w:val="240"/>
          <w:marBottom w:val="0"/>
          <w:divBdr>
            <w:top w:val="none" w:sz="0" w:space="0" w:color="auto"/>
            <w:left w:val="none" w:sz="0" w:space="0" w:color="auto"/>
            <w:bottom w:val="none" w:sz="0" w:space="0" w:color="auto"/>
            <w:right w:val="none" w:sz="0" w:space="0" w:color="auto"/>
          </w:divBdr>
          <w:divsChild>
            <w:div w:id="1421103496">
              <w:marLeft w:val="0"/>
              <w:marRight w:val="0"/>
              <w:marTop w:val="0"/>
              <w:marBottom w:val="0"/>
              <w:divBdr>
                <w:top w:val="none" w:sz="0" w:space="0" w:color="auto"/>
                <w:left w:val="none" w:sz="0" w:space="0" w:color="auto"/>
                <w:bottom w:val="none" w:sz="0" w:space="0" w:color="auto"/>
                <w:right w:val="none" w:sz="0" w:space="0" w:color="auto"/>
              </w:divBdr>
            </w:div>
          </w:divsChild>
        </w:div>
        <w:div w:id="1762678962">
          <w:marLeft w:val="0"/>
          <w:marRight w:val="0"/>
          <w:marTop w:val="240"/>
          <w:marBottom w:val="0"/>
          <w:divBdr>
            <w:top w:val="none" w:sz="0" w:space="0" w:color="auto"/>
            <w:left w:val="none" w:sz="0" w:space="0" w:color="auto"/>
            <w:bottom w:val="none" w:sz="0" w:space="0" w:color="auto"/>
            <w:right w:val="none" w:sz="0" w:space="0" w:color="auto"/>
          </w:divBdr>
          <w:divsChild>
            <w:div w:id="390615202">
              <w:marLeft w:val="0"/>
              <w:marRight w:val="0"/>
              <w:marTop w:val="0"/>
              <w:marBottom w:val="0"/>
              <w:divBdr>
                <w:top w:val="none" w:sz="0" w:space="0" w:color="auto"/>
                <w:left w:val="none" w:sz="0" w:space="0" w:color="auto"/>
                <w:bottom w:val="none" w:sz="0" w:space="0" w:color="auto"/>
                <w:right w:val="none" w:sz="0" w:space="0" w:color="auto"/>
              </w:divBdr>
            </w:div>
          </w:divsChild>
        </w:div>
        <w:div w:id="1265697766">
          <w:marLeft w:val="0"/>
          <w:marRight w:val="0"/>
          <w:marTop w:val="240"/>
          <w:marBottom w:val="0"/>
          <w:divBdr>
            <w:top w:val="none" w:sz="0" w:space="0" w:color="auto"/>
            <w:left w:val="none" w:sz="0" w:space="0" w:color="auto"/>
            <w:bottom w:val="none" w:sz="0" w:space="0" w:color="auto"/>
            <w:right w:val="none" w:sz="0" w:space="0" w:color="auto"/>
          </w:divBdr>
          <w:divsChild>
            <w:div w:id="1392773930">
              <w:marLeft w:val="0"/>
              <w:marRight w:val="0"/>
              <w:marTop w:val="0"/>
              <w:marBottom w:val="0"/>
              <w:divBdr>
                <w:top w:val="none" w:sz="0" w:space="0" w:color="auto"/>
                <w:left w:val="none" w:sz="0" w:space="0" w:color="auto"/>
                <w:bottom w:val="none" w:sz="0" w:space="0" w:color="auto"/>
                <w:right w:val="none" w:sz="0" w:space="0" w:color="auto"/>
              </w:divBdr>
            </w:div>
          </w:divsChild>
        </w:div>
        <w:div w:id="2112042970">
          <w:marLeft w:val="0"/>
          <w:marRight w:val="0"/>
          <w:marTop w:val="240"/>
          <w:marBottom w:val="0"/>
          <w:divBdr>
            <w:top w:val="none" w:sz="0" w:space="0" w:color="auto"/>
            <w:left w:val="none" w:sz="0" w:space="0" w:color="auto"/>
            <w:bottom w:val="none" w:sz="0" w:space="0" w:color="auto"/>
            <w:right w:val="none" w:sz="0" w:space="0" w:color="auto"/>
          </w:divBdr>
          <w:divsChild>
            <w:div w:id="2208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1628">
      <w:bodyDiv w:val="1"/>
      <w:marLeft w:val="0"/>
      <w:marRight w:val="0"/>
      <w:marTop w:val="0"/>
      <w:marBottom w:val="0"/>
      <w:divBdr>
        <w:top w:val="none" w:sz="0" w:space="0" w:color="auto"/>
        <w:left w:val="none" w:sz="0" w:space="0" w:color="auto"/>
        <w:bottom w:val="none" w:sz="0" w:space="0" w:color="auto"/>
        <w:right w:val="none" w:sz="0" w:space="0" w:color="auto"/>
      </w:divBdr>
    </w:div>
    <w:div w:id="1526557993">
      <w:bodyDiv w:val="1"/>
      <w:marLeft w:val="0"/>
      <w:marRight w:val="0"/>
      <w:marTop w:val="0"/>
      <w:marBottom w:val="0"/>
      <w:divBdr>
        <w:top w:val="none" w:sz="0" w:space="0" w:color="auto"/>
        <w:left w:val="none" w:sz="0" w:space="0" w:color="auto"/>
        <w:bottom w:val="none" w:sz="0" w:space="0" w:color="auto"/>
        <w:right w:val="none" w:sz="0" w:space="0" w:color="auto"/>
      </w:divBdr>
    </w:div>
    <w:div w:id="1661883048">
      <w:bodyDiv w:val="1"/>
      <w:marLeft w:val="0"/>
      <w:marRight w:val="0"/>
      <w:marTop w:val="0"/>
      <w:marBottom w:val="0"/>
      <w:divBdr>
        <w:top w:val="none" w:sz="0" w:space="0" w:color="auto"/>
        <w:left w:val="none" w:sz="0" w:space="0" w:color="auto"/>
        <w:bottom w:val="none" w:sz="0" w:space="0" w:color="auto"/>
        <w:right w:val="none" w:sz="0" w:space="0" w:color="auto"/>
      </w:divBdr>
    </w:div>
    <w:div w:id="1672369661">
      <w:bodyDiv w:val="1"/>
      <w:marLeft w:val="0"/>
      <w:marRight w:val="0"/>
      <w:marTop w:val="0"/>
      <w:marBottom w:val="0"/>
      <w:divBdr>
        <w:top w:val="none" w:sz="0" w:space="0" w:color="auto"/>
        <w:left w:val="none" w:sz="0" w:space="0" w:color="auto"/>
        <w:bottom w:val="none" w:sz="0" w:space="0" w:color="auto"/>
        <w:right w:val="none" w:sz="0" w:space="0" w:color="auto"/>
      </w:divBdr>
    </w:div>
    <w:div w:id="1724137855">
      <w:bodyDiv w:val="1"/>
      <w:marLeft w:val="0"/>
      <w:marRight w:val="0"/>
      <w:marTop w:val="0"/>
      <w:marBottom w:val="0"/>
      <w:divBdr>
        <w:top w:val="none" w:sz="0" w:space="0" w:color="auto"/>
        <w:left w:val="none" w:sz="0" w:space="0" w:color="auto"/>
        <w:bottom w:val="none" w:sz="0" w:space="0" w:color="auto"/>
        <w:right w:val="none" w:sz="0" w:space="0" w:color="auto"/>
      </w:divBdr>
    </w:div>
    <w:div w:id="1747724469">
      <w:bodyDiv w:val="1"/>
      <w:marLeft w:val="0"/>
      <w:marRight w:val="0"/>
      <w:marTop w:val="0"/>
      <w:marBottom w:val="0"/>
      <w:divBdr>
        <w:top w:val="none" w:sz="0" w:space="0" w:color="auto"/>
        <w:left w:val="none" w:sz="0" w:space="0" w:color="auto"/>
        <w:bottom w:val="none" w:sz="0" w:space="0" w:color="auto"/>
        <w:right w:val="none" w:sz="0" w:space="0" w:color="auto"/>
      </w:divBdr>
    </w:div>
    <w:div w:id="1824588343">
      <w:bodyDiv w:val="1"/>
      <w:marLeft w:val="0"/>
      <w:marRight w:val="0"/>
      <w:marTop w:val="0"/>
      <w:marBottom w:val="0"/>
      <w:divBdr>
        <w:top w:val="none" w:sz="0" w:space="0" w:color="auto"/>
        <w:left w:val="none" w:sz="0" w:space="0" w:color="auto"/>
        <w:bottom w:val="none" w:sz="0" w:space="0" w:color="auto"/>
        <w:right w:val="none" w:sz="0" w:space="0" w:color="auto"/>
      </w:divBdr>
    </w:div>
    <w:div w:id="1897692757">
      <w:bodyDiv w:val="1"/>
      <w:marLeft w:val="0"/>
      <w:marRight w:val="0"/>
      <w:marTop w:val="0"/>
      <w:marBottom w:val="0"/>
      <w:divBdr>
        <w:top w:val="none" w:sz="0" w:space="0" w:color="auto"/>
        <w:left w:val="none" w:sz="0" w:space="0" w:color="auto"/>
        <w:bottom w:val="none" w:sz="0" w:space="0" w:color="auto"/>
        <w:right w:val="none" w:sz="0" w:space="0" w:color="auto"/>
      </w:divBdr>
    </w:div>
    <w:div w:id="1976986486">
      <w:bodyDiv w:val="1"/>
      <w:marLeft w:val="0"/>
      <w:marRight w:val="0"/>
      <w:marTop w:val="0"/>
      <w:marBottom w:val="0"/>
      <w:divBdr>
        <w:top w:val="none" w:sz="0" w:space="0" w:color="auto"/>
        <w:left w:val="none" w:sz="0" w:space="0" w:color="auto"/>
        <w:bottom w:val="none" w:sz="0" w:space="0" w:color="auto"/>
        <w:right w:val="none" w:sz="0" w:space="0" w:color="auto"/>
      </w:divBdr>
      <w:divsChild>
        <w:div w:id="1445265604">
          <w:marLeft w:val="0"/>
          <w:marRight w:val="0"/>
          <w:marTop w:val="0"/>
          <w:marBottom w:val="0"/>
          <w:divBdr>
            <w:top w:val="none" w:sz="0" w:space="0" w:color="auto"/>
            <w:left w:val="none" w:sz="0" w:space="0" w:color="auto"/>
            <w:bottom w:val="none" w:sz="0" w:space="0" w:color="auto"/>
            <w:right w:val="none" w:sz="0" w:space="0" w:color="auto"/>
          </w:divBdr>
        </w:div>
        <w:div w:id="1032345248">
          <w:marLeft w:val="0"/>
          <w:marRight w:val="0"/>
          <w:marTop w:val="240"/>
          <w:marBottom w:val="0"/>
          <w:divBdr>
            <w:top w:val="none" w:sz="0" w:space="0" w:color="auto"/>
            <w:left w:val="none" w:sz="0" w:space="0" w:color="auto"/>
            <w:bottom w:val="none" w:sz="0" w:space="0" w:color="auto"/>
            <w:right w:val="none" w:sz="0" w:space="0" w:color="auto"/>
          </w:divBdr>
          <w:divsChild>
            <w:div w:id="1952515724">
              <w:marLeft w:val="0"/>
              <w:marRight w:val="0"/>
              <w:marTop w:val="0"/>
              <w:marBottom w:val="0"/>
              <w:divBdr>
                <w:top w:val="none" w:sz="0" w:space="0" w:color="auto"/>
                <w:left w:val="none" w:sz="0" w:space="0" w:color="auto"/>
                <w:bottom w:val="none" w:sz="0" w:space="0" w:color="auto"/>
                <w:right w:val="none" w:sz="0" w:space="0" w:color="auto"/>
              </w:divBdr>
            </w:div>
          </w:divsChild>
        </w:div>
        <w:div w:id="468059669">
          <w:marLeft w:val="0"/>
          <w:marRight w:val="0"/>
          <w:marTop w:val="240"/>
          <w:marBottom w:val="0"/>
          <w:divBdr>
            <w:top w:val="none" w:sz="0" w:space="0" w:color="auto"/>
            <w:left w:val="none" w:sz="0" w:space="0" w:color="auto"/>
            <w:bottom w:val="none" w:sz="0" w:space="0" w:color="auto"/>
            <w:right w:val="none" w:sz="0" w:space="0" w:color="auto"/>
          </w:divBdr>
          <w:divsChild>
            <w:div w:id="1685739577">
              <w:marLeft w:val="0"/>
              <w:marRight w:val="0"/>
              <w:marTop w:val="0"/>
              <w:marBottom w:val="0"/>
              <w:divBdr>
                <w:top w:val="none" w:sz="0" w:space="0" w:color="auto"/>
                <w:left w:val="none" w:sz="0" w:space="0" w:color="auto"/>
                <w:bottom w:val="none" w:sz="0" w:space="0" w:color="auto"/>
                <w:right w:val="none" w:sz="0" w:space="0" w:color="auto"/>
              </w:divBdr>
            </w:div>
          </w:divsChild>
        </w:div>
        <w:div w:id="981344790">
          <w:marLeft w:val="0"/>
          <w:marRight w:val="0"/>
          <w:marTop w:val="240"/>
          <w:marBottom w:val="0"/>
          <w:divBdr>
            <w:top w:val="none" w:sz="0" w:space="0" w:color="auto"/>
            <w:left w:val="none" w:sz="0" w:space="0" w:color="auto"/>
            <w:bottom w:val="none" w:sz="0" w:space="0" w:color="auto"/>
            <w:right w:val="none" w:sz="0" w:space="0" w:color="auto"/>
          </w:divBdr>
          <w:divsChild>
            <w:div w:id="1564372721">
              <w:marLeft w:val="0"/>
              <w:marRight w:val="0"/>
              <w:marTop w:val="0"/>
              <w:marBottom w:val="0"/>
              <w:divBdr>
                <w:top w:val="none" w:sz="0" w:space="0" w:color="auto"/>
                <w:left w:val="none" w:sz="0" w:space="0" w:color="auto"/>
                <w:bottom w:val="none" w:sz="0" w:space="0" w:color="auto"/>
                <w:right w:val="none" w:sz="0" w:space="0" w:color="auto"/>
              </w:divBdr>
            </w:div>
          </w:divsChild>
        </w:div>
        <w:div w:id="95713313">
          <w:marLeft w:val="0"/>
          <w:marRight w:val="0"/>
          <w:marTop w:val="240"/>
          <w:marBottom w:val="0"/>
          <w:divBdr>
            <w:top w:val="none" w:sz="0" w:space="0" w:color="auto"/>
            <w:left w:val="none" w:sz="0" w:space="0" w:color="auto"/>
            <w:bottom w:val="none" w:sz="0" w:space="0" w:color="auto"/>
            <w:right w:val="none" w:sz="0" w:space="0" w:color="auto"/>
          </w:divBdr>
          <w:divsChild>
            <w:div w:id="651566506">
              <w:marLeft w:val="0"/>
              <w:marRight w:val="0"/>
              <w:marTop w:val="0"/>
              <w:marBottom w:val="0"/>
              <w:divBdr>
                <w:top w:val="none" w:sz="0" w:space="0" w:color="auto"/>
                <w:left w:val="none" w:sz="0" w:space="0" w:color="auto"/>
                <w:bottom w:val="none" w:sz="0" w:space="0" w:color="auto"/>
                <w:right w:val="none" w:sz="0" w:space="0" w:color="auto"/>
              </w:divBdr>
            </w:div>
          </w:divsChild>
        </w:div>
        <w:div w:id="1649477712">
          <w:marLeft w:val="0"/>
          <w:marRight w:val="0"/>
          <w:marTop w:val="240"/>
          <w:marBottom w:val="0"/>
          <w:divBdr>
            <w:top w:val="none" w:sz="0" w:space="0" w:color="auto"/>
            <w:left w:val="none" w:sz="0" w:space="0" w:color="auto"/>
            <w:bottom w:val="none" w:sz="0" w:space="0" w:color="auto"/>
            <w:right w:val="none" w:sz="0" w:space="0" w:color="auto"/>
          </w:divBdr>
          <w:divsChild>
            <w:div w:id="791435529">
              <w:marLeft w:val="0"/>
              <w:marRight w:val="0"/>
              <w:marTop w:val="0"/>
              <w:marBottom w:val="0"/>
              <w:divBdr>
                <w:top w:val="none" w:sz="0" w:space="0" w:color="auto"/>
                <w:left w:val="none" w:sz="0" w:space="0" w:color="auto"/>
                <w:bottom w:val="none" w:sz="0" w:space="0" w:color="auto"/>
                <w:right w:val="none" w:sz="0" w:space="0" w:color="auto"/>
              </w:divBdr>
            </w:div>
          </w:divsChild>
        </w:div>
        <w:div w:id="1625191424">
          <w:marLeft w:val="0"/>
          <w:marRight w:val="0"/>
          <w:marTop w:val="240"/>
          <w:marBottom w:val="0"/>
          <w:divBdr>
            <w:top w:val="none" w:sz="0" w:space="0" w:color="auto"/>
            <w:left w:val="none" w:sz="0" w:space="0" w:color="auto"/>
            <w:bottom w:val="none" w:sz="0" w:space="0" w:color="auto"/>
            <w:right w:val="none" w:sz="0" w:space="0" w:color="auto"/>
          </w:divBdr>
          <w:divsChild>
            <w:div w:id="1790011375">
              <w:marLeft w:val="0"/>
              <w:marRight w:val="0"/>
              <w:marTop w:val="0"/>
              <w:marBottom w:val="0"/>
              <w:divBdr>
                <w:top w:val="none" w:sz="0" w:space="0" w:color="auto"/>
                <w:left w:val="none" w:sz="0" w:space="0" w:color="auto"/>
                <w:bottom w:val="none" w:sz="0" w:space="0" w:color="auto"/>
                <w:right w:val="none" w:sz="0" w:space="0" w:color="auto"/>
              </w:divBdr>
            </w:div>
          </w:divsChild>
        </w:div>
        <w:div w:id="1465539073">
          <w:marLeft w:val="0"/>
          <w:marRight w:val="0"/>
          <w:marTop w:val="240"/>
          <w:marBottom w:val="0"/>
          <w:divBdr>
            <w:top w:val="none" w:sz="0" w:space="0" w:color="auto"/>
            <w:left w:val="none" w:sz="0" w:space="0" w:color="auto"/>
            <w:bottom w:val="none" w:sz="0" w:space="0" w:color="auto"/>
            <w:right w:val="none" w:sz="0" w:space="0" w:color="auto"/>
          </w:divBdr>
          <w:divsChild>
            <w:div w:id="1243639691">
              <w:marLeft w:val="0"/>
              <w:marRight w:val="0"/>
              <w:marTop w:val="0"/>
              <w:marBottom w:val="0"/>
              <w:divBdr>
                <w:top w:val="none" w:sz="0" w:space="0" w:color="auto"/>
                <w:left w:val="none" w:sz="0" w:space="0" w:color="auto"/>
                <w:bottom w:val="none" w:sz="0" w:space="0" w:color="auto"/>
                <w:right w:val="none" w:sz="0" w:space="0" w:color="auto"/>
              </w:divBdr>
            </w:div>
          </w:divsChild>
        </w:div>
        <w:div w:id="2093776754">
          <w:marLeft w:val="0"/>
          <w:marRight w:val="0"/>
          <w:marTop w:val="240"/>
          <w:marBottom w:val="0"/>
          <w:divBdr>
            <w:top w:val="none" w:sz="0" w:space="0" w:color="auto"/>
            <w:left w:val="none" w:sz="0" w:space="0" w:color="auto"/>
            <w:bottom w:val="none" w:sz="0" w:space="0" w:color="auto"/>
            <w:right w:val="none" w:sz="0" w:space="0" w:color="auto"/>
          </w:divBdr>
          <w:divsChild>
            <w:div w:id="1821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serNum=1915005397&amp;pubNum=0000577&amp;originatingDoc=I666bd278a57111d981cbf136477a35f6&amp;refType=RP&amp;originationContext=document&amp;vr=3.0&amp;rs=cblt1.0&amp;transitionType=DocumentItem&amp;contextData=(sc.Keyci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law.com/Link/Document/FullText?findType=Y&amp;serNum=1881026272&amp;pubNum=0000596&amp;originatingDoc=I666bd278a57111d981cbf136477a35f6&amp;refType=RP&amp;originationContext=document&amp;vr=3.0&amp;rs=cblt1.0&amp;transitionType=DocumentItem&amp;contextData=(sc.Keycite)" TargetMode="External"/><Relationship Id="rId12" Type="http://schemas.openxmlformats.org/officeDocument/2006/relationships/hyperlink" Target="https://www.nycourts.gov/LegacyPDFS/rules/comments/pdf/received/Matrimoni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ycourts.gov/LegacyPDFS/rules/comments/pdf/Proposed-amendments-to-Matrimonial-and-Uniform-Civil-Rul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ycourts.gov/LegacyPDFS/rules/comments/pdf/received/2019-com-rules-in-other-jdx.pdf" TargetMode="External"/><Relationship Id="rId4" Type="http://schemas.openxmlformats.org/officeDocument/2006/relationships/webSettings" Target="webSettings.xml"/><Relationship Id="rId9" Type="http://schemas.openxmlformats.org/officeDocument/2006/relationships/hyperlink" Target="https://www.nycourts.gov/LegacyPDFS/rules/comments/pdf/received/Oct1UniformRul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49209-1DA7-40E8-9BB3-8C5DEBE5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3051</Words>
  <Characters>16602</Characters>
  <Application>Microsoft Office Word</Application>
  <DocSecurity>0</DocSecurity>
  <Lines>291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17</cp:revision>
  <cp:lastPrinted>2022-10-02T19:34:00Z</cp:lastPrinted>
  <dcterms:created xsi:type="dcterms:W3CDTF">2022-11-03T13:01:00Z</dcterms:created>
  <dcterms:modified xsi:type="dcterms:W3CDTF">2022-11-04T15:04:00Z</dcterms:modified>
</cp:coreProperties>
</file>